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D90C6">
      <w:pPr>
        <w:pStyle w:val="8"/>
        <w:spacing w:line="360" w:lineRule="auto"/>
        <w:jc w:val="center"/>
        <w:outlineLvl w:val="0"/>
        <w:rPr>
          <w:rFonts w:hint="default" w:eastAsia="等线"/>
          <w:lang w:val="en-US" w:eastAsia="zh-CN"/>
        </w:rPr>
      </w:pPr>
      <w:permStart w:id="0" w:edGrp="everyone"/>
      <w:permEnd w:id="0"/>
      <w:bookmarkStart w:id="19" w:name="_GoBack"/>
      <w:bookmarkEnd w:id="19"/>
      <w:r>
        <w:rPr>
          <w:rFonts w:hint="eastAsia" w:eastAsia="等线"/>
          <w:lang w:val="en-US" w:eastAsia="zh-CN"/>
        </w:rPr>
        <w:t xml:space="preserve">                                                合同编号：</w:t>
      </w:r>
    </w:p>
    <w:p w14:paraId="32C83E86">
      <w:pPr>
        <w:pStyle w:val="8"/>
        <w:spacing w:line="700" w:lineRule="exact"/>
        <w:jc w:val="center"/>
        <w:outlineLvl w:val="0"/>
        <w:rPr>
          <w:rFonts w:ascii="宋体" w:hAnsi="宋体" w:eastAsia="宋体" w:cs="宋体"/>
          <w:b/>
          <w:bCs/>
          <w:sz w:val="48"/>
          <w:szCs w:val="48"/>
          <w:lang w:val="zh-Hans" w:eastAsia="zh-Hans"/>
        </w:rPr>
      </w:pPr>
    </w:p>
    <w:p w14:paraId="3908B1C3">
      <w:pPr>
        <w:pStyle w:val="8"/>
        <w:spacing w:line="700" w:lineRule="exact"/>
        <w:jc w:val="center"/>
        <w:outlineLvl w:val="0"/>
        <w:rPr>
          <w:rFonts w:ascii="宋体" w:hAnsi="宋体" w:eastAsia="宋体" w:cs="宋体"/>
          <w:b/>
          <w:bCs/>
          <w:sz w:val="48"/>
          <w:szCs w:val="48"/>
          <w:lang w:val="zh-Hans" w:eastAsia="zh-Hans"/>
        </w:rPr>
      </w:pPr>
    </w:p>
    <w:p w14:paraId="6781D398">
      <w:pPr>
        <w:pStyle w:val="8"/>
        <w:spacing w:line="700" w:lineRule="exact"/>
        <w:jc w:val="center"/>
        <w:outlineLvl w:val="0"/>
        <w:rPr>
          <w:rFonts w:ascii="宋体" w:hAnsi="宋体" w:eastAsia="宋体" w:cs="宋体"/>
          <w:b/>
          <w:bCs/>
          <w:sz w:val="48"/>
          <w:szCs w:val="48"/>
          <w:lang w:val="zh-Hans" w:eastAsia="zh-Hans"/>
        </w:rPr>
      </w:pPr>
    </w:p>
    <w:p w14:paraId="25A441F1">
      <w:pPr>
        <w:pStyle w:val="8"/>
        <w:spacing w:line="700" w:lineRule="exact"/>
        <w:jc w:val="center"/>
        <w:outlineLvl w:val="0"/>
        <w:rPr>
          <w:rFonts w:ascii="宋体" w:hAnsi="宋体" w:eastAsia="宋体" w:cs="宋体"/>
          <w:b/>
          <w:bCs/>
          <w:sz w:val="48"/>
          <w:szCs w:val="48"/>
          <w:lang w:val="zh-Hans" w:eastAsia="zh-Hans"/>
        </w:rPr>
      </w:pPr>
    </w:p>
    <w:p w14:paraId="2BD3D24B">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5E10F5AC">
      <w:pPr>
        <w:pStyle w:val="8"/>
        <w:spacing w:line="700" w:lineRule="exact"/>
        <w:jc w:val="center"/>
        <w:outlineLvl w:val="0"/>
        <w:rPr>
          <w:rFonts w:ascii="宋体" w:hAnsi="宋体" w:eastAsia="宋体" w:cs="宋体"/>
          <w:b/>
          <w:bCs/>
          <w:sz w:val="60"/>
          <w:szCs w:val="60"/>
          <w:lang w:val="zh-Hans" w:eastAsia="zh-Hans"/>
        </w:rPr>
      </w:pPr>
    </w:p>
    <w:p w14:paraId="15A88A37">
      <w:pPr>
        <w:pStyle w:val="8"/>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479B1A9B">
      <w:pPr>
        <w:pStyle w:val="8"/>
        <w:spacing w:line="700" w:lineRule="exact"/>
        <w:jc w:val="center"/>
        <w:outlineLvl w:val="0"/>
        <w:rPr>
          <w:rFonts w:ascii="宋体" w:hAnsi="宋体" w:eastAsia="宋体" w:cs="宋体"/>
          <w:b/>
          <w:bCs/>
          <w:sz w:val="60"/>
          <w:szCs w:val="60"/>
          <w:lang w:val="zh-Hans" w:eastAsia="zh-Hans"/>
        </w:rPr>
      </w:pPr>
    </w:p>
    <w:p w14:paraId="481604DB">
      <w:pPr>
        <w:pStyle w:val="8"/>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0A2969F4">
      <w:pPr>
        <w:pStyle w:val="8"/>
        <w:spacing w:line="700" w:lineRule="exact"/>
        <w:rPr>
          <w:rFonts w:ascii="宋体" w:hAnsi="宋体" w:eastAsia="宋体" w:cs="宋体"/>
          <w:b/>
          <w:bCs/>
          <w:sz w:val="44"/>
          <w:szCs w:val="44"/>
          <w:lang w:val="zh-Hans" w:eastAsia="zh-Hans"/>
        </w:rPr>
      </w:pPr>
    </w:p>
    <w:p w14:paraId="7CBB2C60">
      <w:pPr>
        <w:pStyle w:val="8"/>
      </w:pPr>
    </w:p>
    <w:p w14:paraId="42927B2C">
      <w:pPr>
        <w:pStyle w:val="8"/>
      </w:pPr>
    </w:p>
    <w:p w14:paraId="2C2BFCE8">
      <w:pPr>
        <w:pStyle w:val="8"/>
      </w:pPr>
    </w:p>
    <w:p w14:paraId="14CD7F19">
      <w:pPr>
        <w:pStyle w:val="8"/>
      </w:pPr>
    </w:p>
    <w:p w14:paraId="39118F93">
      <w:pPr>
        <w:pStyle w:val="8"/>
      </w:pPr>
    </w:p>
    <w:p w14:paraId="2F3CBCDF">
      <w:pPr>
        <w:pStyle w:val="8"/>
      </w:pPr>
    </w:p>
    <w:p w14:paraId="28CC4E77">
      <w:pPr>
        <w:pStyle w:val="8"/>
        <w:rPr>
          <w:rFonts w:eastAsia="等线"/>
        </w:rPr>
      </w:pPr>
    </w:p>
    <w:p w14:paraId="2D386514">
      <w:pPr>
        <w:pStyle w:val="8"/>
        <w:rPr>
          <w:rFonts w:eastAsia="等线"/>
        </w:rPr>
      </w:pPr>
    </w:p>
    <w:p w14:paraId="0BC21111">
      <w:pPr>
        <w:pStyle w:val="8"/>
        <w:rPr>
          <w:rFonts w:eastAsia="等线"/>
        </w:rPr>
      </w:pPr>
    </w:p>
    <w:p w14:paraId="50EB2C86">
      <w:pPr>
        <w:pStyle w:val="8"/>
        <w:rPr>
          <w:rFonts w:eastAsia="等线"/>
        </w:rPr>
      </w:pPr>
    </w:p>
    <w:p w14:paraId="4917B0A6">
      <w:pPr>
        <w:pStyle w:val="8"/>
        <w:rPr>
          <w:rFonts w:eastAsia="等线"/>
        </w:rPr>
      </w:pPr>
    </w:p>
    <w:p w14:paraId="77830C7B">
      <w:pPr>
        <w:pStyle w:val="8"/>
        <w:rPr>
          <w:rFonts w:eastAsia="等线"/>
        </w:rPr>
      </w:pPr>
    </w:p>
    <w:p w14:paraId="478CA9A3">
      <w:pPr>
        <w:pStyle w:val="8"/>
        <w:rPr>
          <w:rFonts w:eastAsia="等线"/>
        </w:rPr>
      </w:pPr>
    </w:p>
    <w:p w14:paraId="50564527">
      <w:pPr>
        <w:pStyle w:val="8"/>
      </w:pPr>
    </w:p>
    <w:p w14:paraId="7D08B2A7">
      <w:pPr>
        <w:pStyle w:val="8"/>
      </w:pPr>
    </w:p>
    <w:p w14:paraId="0E7D6B1C">
      <w:pPr>
        <w:pStyle w:val="8"/>
        <w:rPr>
          <w:lang w:val="zh-Hans" w:eastAsia="zh-Hans"/>
        </w:rPr>
      </w:pPr>
    </w:p>
    <w:p w14:paraId="6E92606A">
      <w:pPr>
        <w:pStyle w:val="8"/>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11920193">
      <w:pPr>
        <w:pStyle w:val="8"/>
        <w:spacing w:line="360" w:lineRule="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1"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eastAsia="zh-CN"/>
          <w14:textFill>
            <w14:solidFill>
              <w14:schemeClr w14:val="tx1"/>
            </w14:solidFill>
          </w14:textFill>
        </w:rPr>
        <w:tab/>
      </w:r>
      <w:permEnd w:id="1"/>
    </w:p>
    <w:p w14:paraId="354043E4">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2"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2"/>
    </w:p>
    <w:p w14:paraId="187D6C9E">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27796D68">
      <w:pPr>
        <w:widowControl w:val="0"/>
        <w:spacing w:line="360" w:lineRule="auto"/>
        <w:jc w:val="both"/>
        <w:rPr>
          <w:rFonts w:hint="eastAsia" w:ascii="宋体" w:hAnsi="宋体" w:eastAsia="宋体" w:cs="宋体"/>
          <w:b/>
          <w:bCs/>
          <w:color w:val="000000" w:themeColor="text1"/>
          <w:kern w:val="2"/>
          <w:sz w:val="21"/>
          <w:szCs w:val="21"/>
          <w:lang w:val="zh-Hans" w:eastAsia="zh-Hans"/>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i w:val="0"/>
          <w:iCs w:val="0"/>
          <w:caps w:val="0"/>
          <w:color w:val="000000" w:themeColor="text1"/>
          <w:spacing w:val="0"/>
          <w:kern w:val="2"/>
          <w:sz w:val="21"/>
          <w:szCs w:val="21"/>
          <w:u w:val="single" w:color="000000"/>
          <w:shd w:val="clear"/>
          <w:lang w:val="zh-Hans" w:eastAsia="zh-Hans"/>
          <w14:textFill>
            <w14:solidFill>
              <w14:schemeClr w14:val="tx1"/>
            </w14:solidFill>
          </w14:textFill>
        </w:rPr>
        <w:t>庐山市海朗信息科技有限公司</w:t>
      </w:r>
    </w:p>
    <w:p w14:paraId="4770867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271555AA">
      <w:pPr>
        <w:widowControl w:val="0"/>
        <w:spacing w:line="360" w:lineRule="auto"/>
        <w:jc w:val="both"/>
        <w:rPr>
          <w:rFonts w:ascii="Calibri" w:hAnsi="Calibri" w:eastAsia="Calibri" w:cs="Calibri"/>
          <w:b/>
          <w:bCs/>
          <w:color w:val="auto"/>
          <w:kern w:val="2"/>
          <w:sz w:val="18"/>
          <w:szCs w:val="18"/>
          <w:u w:val="single"/>
          <w:lang w:eastAsia="zh-CN"/>
        </w:rPr>
      </w:pPr>
    </w:p>
    <w:p w14:paraId="5B64C752">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5DB491A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613668D1">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3878272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3"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3"/>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764690C1">
      <w:pPr>
        <w:pStyle w:val="8"/>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0EC64C5B">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2E021197">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34DFDC23">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4A65C7F1">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15B27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0E122E3A">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6B99CD8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0C2C7674">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13B7077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5D230FD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1036BB4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3551771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06B18A4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9"/>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9"/>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9"/>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C853141">
      <w:pPr>
        <w:pStyle w:val="8"/>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25160B0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11EDF8E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0C213B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4083956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0DD98C22">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31DBE9C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79BFEB8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1B33563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22664F6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default" w:ascii="宋体" w:hAnsi="宋体" w:eastAsia="宋体" w:cs="宋体"/>
          <w:color w:val="auto"/>
          <w:kern w:val="0"/>
          <w:lang w:val="en-US" w:eastAsia="zh-CN"/>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18B836B4">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29603D29">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4C7C82E4">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376A7817">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02E23C5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7F0FF49">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5C8DF681">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0DB872C5">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4CF78B77">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1265E4A2">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0F9EF8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5AA28C15">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4E654C0B">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3A978749">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303882C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10FCAE9C">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6280EB1">
      <w:pPr>
        <w:pStyle w:val="8"/>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37A290C1">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3BFE6725">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1E26B97E">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2048273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17F6FF5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因乙方宣传过失，给甲方造成严重负面影响，致使甲方社会评价严重下降的；</w:t>
      </w:r>
    </w:p>
    <w:p w14:paraId="0FB3EBF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乙方破产或被取消营业资格的；</w:t>
      </w:r>
    </w:p>
    <w:p w14:paraId="1DCDDC2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其他乙方拒绝或未能履行本协议所规定的其应履行的职责、义务情况的；</w:t>
      </w:r>
    </w:p>
    <w:p w14:paraId="11519A8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4942E54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28BAE89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09EBC7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1B2066A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7258892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5AA0F10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512535F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1140C8D0">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358DEB97">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822E4F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19EFB5E6">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3FC495B3">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6D3244A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7C61105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6937875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1F961F4">
      <w:pPr>
        <w:pStyle w:val="8"/>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72D89D41">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3A20868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24487D6B">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ACDD12C">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6F34181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70C5B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w:t>
      </w:r>
      <w:r>
        <w:rPr>
          <w:rFonts w:hint="eastAsia" w:ascii="宋体" w:hAnsi="宋体" w:eastAsia="宋体" w:cs="宋体"/>
          <w:color w:val="auto"/>
          <w:kern w:val="0"/>
          <w:lang w:val="en-US" w:eastAsia="zh-CN"/>
        </w:rPr>
        <w:t>二</w:t>
      </w:r>
      <w:r>
        <w:rPr>
          <w:rFonts w:hint="eastAsia" w:ascii="宋体" w:hAnsi="宋体" w:eastAsia="宋体" w:cs="宋体"/>
          <w:color w:val="auto"/>
          <w:kern w:val="0"/>
          <w:lang w:val="zh-Hans" w:eastAsia="zh-Hans"/>
        </w:rPr>
        <w:t>年内。</w:t>
      </w:r>
      <w:bookmarkEnd w:id="12"/>
    </w:p>
    <w:p w14:paraId="689719B5">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7459AB5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4828ADC0">
      <w:pPr>
        <w:pStyle w:val="8"/>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0E07B788">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6F33A0EF">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277D20A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093911EE">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1413C07A">
      <w:pPr>
        <w:pStyle w:val="8"/>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5091ED3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0E7494F5">
      <w:pPr>
        <w:pStyle w:val="8"/>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50349279">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3515F20C">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1F075F5F">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55C1BF6D">
      <w:pPr>
        <w:pStyle w:val="8"/>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6D41B713">
      <w:pPr>
        <w:pStyle w:val="8"/>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7C2FA031">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2BA55D2">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04AB5BA5">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5EE2EAB3">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2ED82F9D">
      <w:pPr>
        <w:pStyle w:val="10"/>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614A75A8">
      <w:pPr>
        <w:pStyle w:val="8"/>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14AEE73C">
      <w:pPr>
        <w:pStyle w:val="8"/>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00ECC6F1">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6ED19A38">
      <w:pPr>
        <w:jc w:val="both"/>
        <w:rPr>
          <w:rFonts w:ascii="宋体" w:hAnsi="宋体" w:eastAsia="宋体" w:cs="宋体"/>
          <w:color w:val="auto"/>
          <w:sz w:val="21"/>
          <w:szCs w:val="21"/>
          <w:lang w:eastAsia="zh-CN"/>
        </w:rPr>
      </w:pPr>
    </w:p>
    <w:p w14:paraId="57B0630E">
      <w:pPr>
        <w:jc w:val="both"/>
        <w:rPr>
          <w:rFonts w:ascii="宋体" w:hAnsi="宋体" w:eastAsia="宋体" w:cs="宋体"/>
          <w:color w:val="auto"/>
          <w:sz w:val="21"/>
          <w:szCs w:val="21"/>
          <w:lang w:eastAsia="zh-CN"/>
        </w:rPr>
      </w:pPr>
    </w:p>
    <w:p w14:paraId="5ECB3D25">
      <w:pPr>
        <w:jc w:val="both"/>
        <w:rPr>
          <w:rFonts w:ascii="宋体" w:hAnsi="宋体" w:eastAsia="宋体" w:cs="宋体"/>
          <w:color w:val="auto"/>
          <w:sz w:val="21"/>
          <w:szCs w:val="21"/>
          <w:lang w:eastAsia="zh-CN"/>
        </w:rPr>
      </w:pPr>
    </w:p>
    <w:p w14:paraId="54118A3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4" w:edGrp="everyone"/>
      <w:r>
        <w:rPr>
          <w:rFonts w:hint="eastAsia" w:ascii="宋体" w:hAnsi="宋体" w:eastAsia="宋体" w:cs="宋体"/>
          <w:color w:val="auto"/>
          <w:sz w:val="21"/>
          <w:szCs w:val="21"/>
          <w:lang w:val="en-US" w:eastAsia="zh-CN"/>
        </w:rPr>
        <w:t xml:space="preserve">   </w:t>
      </w:r>
    </w:p>
    <w:permEnd w:id="4"/>
    <w:p w14:paraId="1B38273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2B21AF54">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5" w:edGrp="everyone"/>
      <w:r>
        <w:rPr>
          <w:rFonts w:hint="eastAsia" w:ascii="宋体" w:hAnsi="宋体" w:eastAsia="宋体" w:cs="宋体"/>
          <w:color w:val="auto"/>
          <w:sz w:val="21"/>
          <w:szCs w:val="21"/>
          <w:lang w:val="en-US" w:eastAsia="zh-CN"/>
        </w:rPr>
        <w:t xml:space="preserve">   </w:t>
      </w:r>
    </w:p>
    <w:permEnd w:id="5"/>
    <w:p w14:paraId="5C8D51C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4410AC2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6" w:edGrp="everyone"/>
      <w:r>
        <w:rPr>
          <w:rFonts w:hint="eastAsia" w:ascii="宋体" w:hAnsi="宋体" w:eastAsia="宋体" w:cs="宋体"/>
          <w:color w:val="auto"/>
          <w:sz w:val="21"/>
          <w:szCs w:val="21"/>
          <w:lang w:val="en-US" w:eastAsia="zh-CN"/>
        </w:rPr>
        <w:t xml:space="preserve"> </w:t>
      </w:r>
      <w:permEnd w:id="6"/>
      <w:r>
        <w:rPr>
          <w:rFonts w:ascii="宋体" w:hAnsi="宋体" w:eastAsia="宋体" w:cs="宋体"/>
          <w:color w:val="auto"/>
          <w:sz w:val="21"/>
          <w:szCs w:val="21"/>
          <w:lang w:val="zh-Hans" w:eastAsia="zh-Hans"/>
        </w:rPr>
        <w:t xml:space="preserve">           </w:t>
      </w:r>
    </w:p>
    <w:p w14:paraId="09D9F9BD">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32D76319">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7"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7"/>
      <w:r>
        <w:rPr>
          <w:rFonts w:ascii="宋体" w:hAnsi="宋体" w:eastAsia="宋体" w:cs="宋体"/>
          <w:color w:val="auto"/>
          <w:sz w:val="21"/>
          <w:szCs w:val="21"/>
          <w:lang w:val="zh-Hans" w:eastAsia="zh-Hans"/>
        </w:rPr>
        <w:t xml:space="preserve">         </w:t>
      </w:r>
    </w:p>
    <w:p w14:paraId="39DAA53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73085">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270B5FA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9CAC5AE">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b w:val="0"/>
          <w:bCs w:val="0"/>
          <w:i w:val="0"/>
          <w:iCs w:val="0"/>
          <w:caps w:val="0"/>
          <w:color w:val="auto"/>
          <w:spacing w:val="0"/>
          <w:kern w:val="0"/>
          <w:sz w:val="21"/>
          <w:szCs w:val="21"/>
          <w:u w:val="none" w:color="000000"/>
          <w:shd w:val="clear"/>
          <w:lang w:val="zh-Hans" w:eastAsia="zh-CN"/>
        </w:rPr>
        <w:t>庐山市海朗信息科技有限公司</w:t>
      </w:r>
      <w:r>
        <w:rPr>
          <w:rFonts w:hint="eastAsia" w:ascii="宋体" w:hAnsi="宋体" w:eastAsia="宋体" w:cs="宋体"/>
          <w:color w:val="auto"/>
          <w:sz w:val="21"/>
          <w:szCs w:val="21"/>
          <w:lang w:val="zh-Hans" w:eastAsia="zh-CN"/>
        </w:rPr>
        <w:t xml:space="preserve"> </w:t>
      </w:r>
    </w:p>
    <w:p w14:paraId="133B531D">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0F91C2D4">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8" w:edGrp="everyone"/>
      <w:r>
        <w:rPr>
          <w:rFonts w:hint="eastAsia" w:ascii="宋体" w:hAnsi="宋体" w:eastAsia="宋体" w:cs="宋体"/>
          <w:color w:val="auto"/>
          <w:sz w:val="21"/>
          <w:szCs w:val="21"/>
          <w:lang w:val="en-US" w:eastAsia="zh-CN"/>
        </w:rPr>
        <w:t xml:space="preserve"> </w:t>
      </w:r>
      <w:r>
        <w:rPr>
          <w:rFonts w:hint="eastAsia" w:ascii="宋体" w:hAnsi="宋体" w:eastAsia="宋体" w:cs="宋体"/>
          <w:i w:val="0"/>
          <w:iCs w:val="0"/>
          <w:caps w:val="0"/>
          <w:color w:val="auto"/>
          <w:spacing w:val="0"/>
          <w:sz w:val="21"/>
          <w:szCs w:val="21"/>
          <w:u w:color="000000"/>
          <w:shd w:val="clear"/>
          <w:lang w:val="zh-Hans" w:eastAsia="zh-CN"/>
        </w:rPr>
        <w:t>周美群</w:t>
      </w:r>
    </w:p>
    <w:permEnd w:id="8"/>
    <w:p w14:paraId="0FABD3D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255AAB0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57001A99">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6D04A63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9" w:edGrp="everyone"/>
      <w:r>
        <w:rPr>
          <w:rFonts w:ascii="宋体" w:hAnsi="宋体" w:eastAsia="宋体" w:cs="宋体"/>
          <w:color w:val="auto"/>
          <w:sz w:val="21"/>
          <w:szCs w:val="21"/>
          <w:lang w:val="zh-Hans" w:eastAsia="zh-Hans"/>
        </w:rPr>
        <w:t xml:space="preserve"> </w:t>
      </w:r>
      <w:permEnd w:id="9"/>
      <w:r>
        <w:rPr>
          <w:rFonts w:ascii="宋体" w:hAnsi="宋体" w:eastAsia="宋体" w:cs="宋体"/>
          <w:color w:val="auto"/>
          <w:sz w:val="21"/>
          <w:szCs w:val="21"/>
          <w:lang w:val="zh-Hans" w:eastAsia="zh-Hans"/>
        </w:rPr>
        <w:t xml:space="preserve"> </w:t>
      </w:r>
    </w:p>
    <w:p w14:paraId="182D064F">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11912C02">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531751E">
      <w:pPr>
        <w:pStyle w:val="8"/>
        <w:spacing w:line="360" w:lineRule="auto"/>
        <w:ind w:firstLine="420" w:firstLineChars="200"/>
        <w:rPr>
          <w:rFonts w:ascii="宋体" w:hAnsi="宋体" w:eastAsia="宋体" w:cs="宋体"/>
          <w:color w:val="auto"/>
          <w:kern w:val="0"/>
        </w:rPr>
      </w:pPr>
    </w:p>
    <w:p w14:paraId="6377F28A">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0" w:edGrp="everyone"/>
      <w:r>
        <w:rPr>
          <w:rFonts w:hint="eastAsia" w:ascii="宋体" w:hAnsi="宋体" w:eastAsia="宋体" w:cs="宋体"/>
          <w:color w:val="auto"/>
          <w:kern w:val="0"/>
        </w:rPr>
        <w:t>【   】年【   】月【   】</w:t>
      </w:r>
      <w:permEnd w:id="10"/>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42409265">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0FA2877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E0FBB0">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u w:val="single"/>
          <w:lang w:val="en-US" w:eastAsia="zh-CN"/>
        </w:rPr>
        <w:t xml:space="preserve">玖万捌仟 </w:t>
      </w:r>
      <w:r>
        <w:rPr>
          <w:rFonts w:hint="eastAsia" w:ascii="宋体" w:hAnsi="宋体" w:eastAsia="宋体" w:cs="宋体"/>
          <w:color w:val="auto"/>
          <w:kern w:val="0"/>
          <w:lang w:val="zh-Hans" w:eastAsia="zh-TW"/>
        </w:rPr>
        <w:t>元人民币整。</w:t>
      </w:r>
    </w:p>
    <w:p w14:paraId="61BD6203">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等线" w:hAnsi="等线" w:eastAsia="等线"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不超过 壹佰</w:t>
      </w:r>
      <w:r>
        <w:rPr>
          <w:rFonts w:hint="eastAsia" w:ascii="宋体" w:hAnsi="宋体" w:eastAsia="宋体" w:cs="宋体"/>
          <w:color w:val="auto"/>
          <w:kern w:val="0"/>
          <w:u w:val="single"/>
          <w:lang w:val="en-US" w:eastAsia="zh-CN"/>
        </w:rPr>
        <w:t>壹</w:t>
      </w:r>
      <w:r>
        <w:rPr>
          <w:rFonts w:hint="eastAsia" w:ascii="宋体" w:hAnsi="宋体" w:eastAsia="宋体" w:cs="宋体"/>
          <w:color w:val="auto"/>
          <w:kern w:val="0"/>
          <w:u w:val="single"/>
        </w:rPr>
        <w:t>拾</w:t>
      </w:r>
      <w:r>
        <w:rPr>
          <w:rFonts w:hint="eastAsia" w:ascii="宋体" w:hAnsi="宋体" w:eastAsia="宋体" w:cs="宋体"/>
          <w:color w:val="auto"/>
          <w:kern w:val="0"/>
          <w:u w:val="single"/>
          <w:lang w:val="en-US" w:eastAsia="zh-CN"/>
        </w:rPr>
        <w:t>柒</w:t>
      </w:r>
      <w:r>
        <w:rPr>
          <w:rFonts w:hint="eastAsia" w:ascii="宋体" w:hAnsi="宋体" w:eastAsia="宋体" w:cs="宋体"/>
          <w:color w:val="auto"/>
          <w:kern w:val="0"/>
          <w:u w:val="single"/>
        </w:rPr>
        <w:t>万</w:t>
      </w:r>
      <w:r>
        <w:rPr>
          <w:rFonts w:hint="eastAsia" w:ascii="宋体" w:hAnsi="宋体" w:eastAsia="宋体" w:cs="宋体"/>
          <w:color w:val="auto"/>
          <w:kern w:val="0"/>
          <w:u w:val="single"/>
          <w:lang w:val="en-US" w:eastAsia="zh-CN"/>
        </w:rPr>
        <w:t>陆仟</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p>
    <w:p w14:paraId="6F32682D">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7F9F5159">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4D4184C1">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r>
        <w:rPr>
          <w:rFonts w:hint="eastAsia" w:ascii="宋体" w:hAnsi="宋体" w:eastAsia="宋体" w:cs="宋体"/>
          <w:color w:val="000000" w:themeColor="text1"/>
          <w:kern w:val="0"/>
          <w14:textFill>
            <w14:solidFill>
              <w14:schemeClr w14:val="tx1"/>
            </w14:solidFill>
          </w14:textFill>
        </w:rPr>
        <w:t>＋付款手续费（如有）</w:t>
      </w:r>
      <w:r>
        <w:rPr>
          <w:rFonts w:ascii="宋体" w:hAnsi="宋体" w:eastAsia="宋体" w:cs="宋体"/>
          <w:color w:val="auto"/>
          <w:kern w:val="0"/>
          <w:lang w:val="zh-Hans"/>
        </w:rPr>
        <w:t>；</w:t>
      </w:r>
    </w:p>
    <w:p w14:paraId="08CD9D7D">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1"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1"/>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280FD2B8">
      <w:pPr>
        <w:pStyle w:val="8"/>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000000" w:themeColor="text1"/>
          <w:kern w:val="0"/>
          <w14:textFill>
            <w14:solidFill>
              <w14:schemeClr w14:val="tx1"/>
            </w14:solidFill>
          </w14:textFill>
        </w:rPr>
      </w:pPr>
      <w:r>
        <w:rPr>
          <w:rFonts w:hint="eastAsia" w:ascii="宋体" w:hAnsi="宋体" w:eastAsia="宋体" w:cs="宋体"/>
          <w:color w:val="auto"/>
          <w:kern w:val="0"/>
        </w:rPr>
        <w:t>1.6、</w:t>
      </w:r>
      <w:r>
        <w:rPr>
          <w:rFonts w:hint="eastAsia" w:ascii="宋体" w:hAnsi="宋体" w:eastAsia="宋体" w:cs="宋体"/>
          <w:color w:val="000000" w:themeColor="text1"/>
          <w:kern w:val="0"/>
          <w:lang w:val="zh-Hans" w:eastAsia="zh-Hans"/>
          <w14:textFill>
            <w14:solidFill>
              <w14:schemeClr w14:val="tx1"/>
            </w14:solidFill>
          </w14:textFill>
        </w:rPr>
        <w:t>其中，上述“</w:t>
      </w:r>
      <w:r>
        <w:rPr>
          <w:rFonts w:hint="eastAsia" w:ascii="宋体" w:hAnsi="宋体" w:eastAsia="宋体" w:cs="宋体"/>
          <w:color w:val="000000" w:themeColor="text1"/>
          <w:kern w:val="0"/>
          <w14:textFill>
            <w14:solidFill>
              <w14:schemeClr w14:val="tx1"/>
            </w14:solidFill>
          </w14:textFill>
        </w:rPr>
        <w:t>付款手续费</w:t>
      </w:r>
      <w:r>
        <w:rPr>
          <w:rFonts w:hint="eastAsia" w:ascii="宋体" w:hAnsi="宋体" w:eastAsia="宋体" w:cs="宋体"/>
          <w:color w:val="000000" w:themeColor="text1"/>
          <w:kern w:val="0"/>
          <w:lang w:val="zh-Hans" w:eastAsia="zh-Hans"/>
          <w14:textFill>
            <w14:solidFill>
              <w14:schemeClr w14:val="tx1"/>
            </w14:solidFill>
          </w14:textFill>
        </w:rPr>
        <w:t>”的标准</w:t>
      </w:r>
      <w:r>
        <w:rPr>
          <w:rFonts w:hint="eastAsia" w:ascii="宋体" w:hAnsi="宋体" w:eastAsia="宋体" w:cs="宋体"/>
          <w:color w:val="000000" w:themeColor="text1"/>
          <w:kern w:val="0"/>
          <w14:textFill>
            <w14:solidFill>
              <w14:schemeClr w14:val="tx1"/>
            </w14:solidFill>
          </w14:textFill>
        </w:rPr>
        <w:t>为：</w:t>
      </w:r>
    </w:p>
    <w:p w14:paraId="54ECDC78">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000000" w:themeColor="text1"/>
          <w:kern w:val="0"/>
          <w14:textFill>
            <w14:solidFill>
              <w14:schemeClr w14:val="tx1"/>
            </w14:solidFill>
          </w14:textFill>
        </w:rPr>
      </w:pPr>
      <w:permStart w:id="12" w:edGrp="everyone"/>
      <w:r>
        <w:rPr>
          <w:rFonts w:hint="eastAsia" w:ascii="宋体" w:hAnsi="宋体" w:eastAsia="宋体" w:cs="宋体"/>
          <w:color w:val="000000" w:themeColor="text1"/>
          <w:kern w:val="0"/>
          <w14:textFill>
            <w14:solidFill>
              <w14:schemeClr w14:val="tx1"/>
            </w14:solidFill>
          </w14:textFill>
        </w:rPr>
        <w:sym w:font="Wingdings" w:char="00A8"/>
      </w:r>
      <w:permEnd w:id="12"/>
      <w:r>
        <w:rPr>
          <w:rFonts w:hint="eastAsia" w:ascii="宋体" w:hAnsi="宋体" w:eastAsia="宋体" w:cs="宋体"/>
          <w:color w:val="000000" w:themeColor="text1"/>
          <w:kern w:val="0"/>
          <w14:textFill>
            <w14:solidFill>
              <w14:schemeClr w14:val="tx1"/>
            </w14:solidFill>
          </w14:textFill>
        </w:rPr>
        <w:t>甲方支付自由职业者佣金至银行卡金额小于1000元（含），每笔加收</w:t>
      </w:r>
      <w:permStart w:id="13" w:edGrp="everyone"/>
      <w:r>
        <w:rPr>
          <w:rFonts w:hint="eastAsia" w:ascii="宋体" w:hAnsi="宋体" w:eastAsia="宋体" w:cs="宋体"/>
          <w:color w:val="000000" w:themeColor="text1"/>
          <w:kern w:val="0"/>
          <w:u w:val="single"/>
          <w14:textFill>
            <w14:solidFill>
              <w14:schemeClr w14:val="tx1"/>
            </w14:solidFill>
          </w14:textFill>
        </w:rPr>
        <w:t xml:space="preserve"> </w:t>
      </w:r>
      <w:r>
        <w:rPr>
          <w:rFonts w:hint="default" w:ascii="宋体" w:hAnsi="宋体" w:eastAsia="宋体" w:cs="宋体"/>
          <w:color w:val="000000" w:themeColor="text1"/>
          <w:kern w:val="0"/>
          <w:u w:val="single"/>
          <w:lang w:val="en-US"/>
          <w14:textFill>
            <w14:solidFill>
              <w14:schemeClr w14:val="tx1"/>
            </w14:solidFill>
          </w14:textFill>
        </w:rPr>
        <w:t xml:space="preserve">  </w:t>
      </w:r>
      <w:r>
        <w:rPr>
          <w:rFonts w:hint="eastAsia" w:ascii="宋体" w:hAnsi="宋体" w:eastAsia="宋体" w:cs="宋体"/>
          <w:color w:val="000000" w:themeColor="text1"/>
          <w:kern w:val="0"/>
          <w:u w:val="single"/>
          <w14:textFill>
            <w14:solidFill>
              <w14:schemeClr w14:val="tx1"/>
            </w14:solidFill>
          </w14:textFill>
        </w:rPr>
        <w:t xml:space="preserve"> </w:t>
      </w:r>
      <w:permEnd w:id="13"/>
      <w:r>
        <w:rPr>
          <w:rFonts w:hint="eastAsia" w:ascii="宋体" w:hAnsi="宋体" w:eastAsia="宋体" w:cs="宋体"/>
          <w:color w:val="000000" w:themeColor="text1"/>
          <w:kern w:val="0"/>
          <w14:textFill>
            <w14:solidFill>
              <w14:schemeClr w14:val="tx1"/>
            </w14:solidFill>
          </w14:textFill>
        </w:rPr>
        <w:t>元付款手续费。</w:t>
      </w:r>
    </w:p>
    <w:p w14:paraId="7F90FF90">
      <w:pPr>
        <w:pStyle w:val="8"/>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permStart w:id="14" w:edGrp="everyone"/>
      <w:r>
        <w:rPr>
          <w:rFonts w:hint="eastAsia" w:ascii="宋体" w:hAnsi="宋体" w:eastAsia="宋体" w:cs="宋体"/>
          <w:color w:val="000000" w:themeColor="text1"/>
          <w:kern w:val="0"/>
          <w14:textFill>
            <w14:solidFill>
              <w14:schemeClr w14:val="tx1"/>
            </w14:solidFill>
          </w14:textFill>
        </w:rPr>
        <w:sym w:font="Wingdings" w:char="00A8"/>
      </w:r>
      <w:permEnd w:id="14"/>
      <w:r>
        <w:rPr>
          <w:rFonts w:hint="eastAsia" w:ascii="宋体" w:hAnsi="宋体" w:eastAsia="宋体" w:cs="宋体"/>
          <w:color w:val="000000" w:themeColor="text1"/>
          <w:kern w:val="0"/>
          <w14:textFill>
            <w14:solidFill>
              <w14:schemeClr w14:val="tx1"/>
            </w14:solidFill>
          </w14:textFill>
        </w:rPr>
        <w:t>甲方支付自由职业者佣金至</w:t>
      </w:r>
      <w:r>
        <w:rPr>
          <w:rFonts w:hint="eastAsia" w:ascii="宋体" w:hAnsi="宋体" w:eastAsia="宋体" w:cs="宋体"/>
          <w:color w:val="000000" w:themeColor="text1"/>
          <w:kern w:val="0"/>
          <w:lang w:val="zh-Hans" w:eastAsia="zh-Hans"/>
          <w14:textFill>
            <w14:solidFill>
              <w14:schemeClr w14:val="tx1"/>
            </w14:solidFill>
          </w14:textFill>
        </w:rPr>
        <w:t>个人支付宝钱包金额小于1000元（含），每笔加收</w:t>
      </w:r>
      <w:permStart w:id="15" w:edGrp="everyone"/>
      <w:r>
        <w:rPr>
          <w:rFonts w:hint="eastAsia" w:ascii="宋体" w:hAnsi="宋体" w:eastAsia="宋体" w:cs="宋体"/>
          <w:color w:val="000000" w:themeColor="text1"/>
          <w:kern w:val="0"/>
          <w:u w:val="single"/>
          <w:lang w:val="zh-Hans" w:eastAsia="zh-Hans"/>
          <w14:textFill>
            <w14:solidFill>
              <w14:schemeClr w14:val="tx1"/>
            </w14:solidFill>
          </w14:textFill>
        </w:rPr>
        <w:t xml:space="preserve">  </w:t>
      </w:r>
      <w:r>
        <w:rPr>
          <w:rFonts w:hint="eastAsia" w:ascii="宋体" w:hAnsi="宋体" w:eastAsia="宋体" w:cs="宋体"/>
          <w:color w:val="000000" w:themeColor="text1"/>
          <w:kern w:val="0"/>
          <w:lang w:val="zh-Hans" w:eastAsia="zh-Hans"/>
          <w14:textFill>
            <w14:solidFill>
              <w14:schemeClr w14:val="tx1"/>
            </w14:solidFill>
          </w14:textFill>
        </w:rPr>
        <w:t>元</w:t>
      </w:r>
      <w:permEnd w:id="15"/>
      <w:r>
        <w:rPr>
          <w:rFonts w:hint="eastAsia" w:ascii="宋体" w:hAnsi="宋体" w:eastAsia="宋体" w:cs="宋体"/>
          <w:color w:val="000000" w:themeColor="text1"/>
          <w:kern w:val="0"/>
          <w:lang w:val="zh-Hans" w:eastAsia="zh-Hans"/>
          <w14:textFill>
            <w14:solidFill>
              <w14:schemeClr w14:val="tx1"/>
            </w14:solidFill>
          </w14:textFill>
        </w:rPr>
        <w:t>付款手续费。</w:t>
      </w:r>
    </w:p>
    <w:p w14:paraId="5F3395B6">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5D597FB1">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5B26988">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、乙方收到甲方支付的服务费后，向甲方提供等额增值税专用发票，并邮寄送达至</w:t>
      </w:r>
      <w:r>
        <w:rPr>
          <w:rFonts w:hint="eastAsia" w:ascii="宋体" w:hAnsi="宋体" w:eastAsia="宋体" w:cs="宋体"/>
          <w:color w:val="auto"/>
          <w:kern w:val="0"/>
        </w:rPr>
        <w:t>企业用户端填写的邮寄</w:t>
      </w:r>
      <w:r>
        <w:rPr>
          <w:rFonts w:hint="eastAsia" w:ascii="宋体" w:hAnsi="宋体" w:eastAsia="宋体" w:cs="宋体"/>
          <w:color w:val="auto"/>
          <w:kern w:val="0"/>
          <w:lang w:val="zh-Hans" w:eastAsia="zh-Hans"/>
        </w:rPr>
        <w:t>地址，甲方开票信息如下：</w:t>
      </w:r>
    </w:p>
    <w:p w14:paraId="381745F2">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6" w:edGrp="everyone"/>
    </w:p>
    <w:permEnd w:id="16"/>
    <w:p w14:paraId="02754946">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7" w:edGrp="everyone"/>
    </w:p>
    <w:permEnd w:id="17"/>
    <w:p w14:paraId="237EF0FA">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8" w:edGrp="everyone"/>
    </w:p>
    <w:permEnd w:id="18"/>
    <w:p w14:paraId="5686D4B4">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9" w:edGrp="everyone"/>
    </w:p>
    <w:permEnd w:id="19"/>
    <w:p w14:paraId="1CFCB145">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开户行：</w:t>
      </w:r>
      <w:permStart w:id="20" w:edGrp="everyone"/>
    </w:p>
    <w:permEnd w:id="20"/>
    <w:p w14:paraId="1FD3E294">
      <w:pPr>
        <w:pStyle w:val="8"/>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21" w:edGrp="everyone"/>
    </w:p>
    <w:permEnd w:id="21"/>
    <w:p w14:paraId="6A6AEF0E">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25683DE2">
      <w:pPr>
        <w:pStyle w:val="8"/>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2FE6D041">
      <w:pPr>
        <w:pStyle w:val="8"/>
        <w:spacing w:line="360" w:lineRule="auto"/>
        <w:rPr>
          <w:rFonts w:ascii="宋体" w:hAnsi="宋体" w:eastAsia="宋体" w:cs="宋体"/>
          <w:color w:val="auto"/>
          <w:kern w:val="0"/>
        </w:rPr>
      </w:pPr>
    </w:p>
    <w:p w14:paraId="4E8171B0">
      <w:pPr>
        <w:pStyle w:val="8"/>
        <w:spacing w:line="360" w:lineRule="auto"/>
        <w:ind w:firstLine="577" w:firstLineChars="275"/>
        <w:rPr>
          <w:rFonts w:ascii="宋体" w:hAnsi="宋体" w:eastAsia="宋体" w:cs="宋体"/>
          <w:color w:val="auto"/>
          <w:kern w:val="0"/>
          <w:highlight w:val="yellow"/>
          <w:lang w:val="zh-Hans"/>
        </w:rPr>
      </w:pPr>
    </w:p>
    <w:p w14:paraId="04B0E0EF">
      <w:pPr>
        <w:pStyle w:val="8"/>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70A7F9E8">
      <w:pPr>
        <w:pStyle w:val="8"/>
        <w:spacing w:line="360" w:lineRule="auto"/>
        <w:rPr>
          <w:rFonts w:ascii="宋体" w:hAnsi="宋体" w:eastAsia="宋体" w:cs="宋体"/>
          <w:kern w:val="0"/>
        </w:rPr>
      </w:pPr>
    </w:p>
    <w:p w14:paraId="3FF5DFC1">
      <w:pPr>
        <w:pStyle w:val="8"/>
        <w:spacing w:line="360" w:lineRule="auto"/>
        <w:rPr>
          <w:rFonts w:ascii="宋体" w:hAnsi="宋体" w:eastAsia="宋体" w:cs="宋体"/>
          <w:kern w:val="0"/>
        </w:rPr>
      </w:pPr>
    </w:p>
    <w:p w14:paraId="49B82C49">
      <w:pPr>
        <w:pStyle w:val="8"/>
        <w:spacing w:line="360" w:lineRule="auto"/>
        <w:rPr>
          <w:rFonts w:ascii="宋体" w:hAnsi="宋体" w:eastAsia="宋体" w:cs="宋体"/>
          <w:kern w:val="0"/>
        </w:rPr>
      </w:pPr>
    </w:p>
    <w:p w14:paraId="376050F9">
      <w:pPr>
        <w:pStyle w:val="8"/>
        <w:spacing w:line="360" w:lineRule="auto"/>
        <w:rPr>
          <w:rFonts w:ascii="宋体" w:hAnsi="宋体" w:eastAsia="宋体" w:cs="宋体"/>
          <w:kern w:val="0"/>
        </w:rPr>
      </w:pPr>
    </w:p>
    <w:p w14:paraId="25231F8E">
      <w:pPr>
        <w:pStyle w:val="8"/>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22" w:edGrp="everyone"/>
      <w:r>
        <w:rPr>
          <w:rFonts w:hint="eastAsia" w:ascii="宋体" w:hAnsi="宋体" w:eastAsia="宋体" w:cs="宋体"/>
          <w:kern w:val="0"/>
        </w:rPr>
        <w:t xml:space="preserve"> </w:t>
      </w:r>
      <w:permEnd w:id="22"/>
      <w:r>
        <w:rPr>
          <w:rFonts w:hint="eastAsia" w:ascii="宋体" w:hAnsi="宋体" w:eastAsia="宋体" w:cs="宋体"/>
          <w:kern w:val="0"/>
        </w:rPr>
        <w:t xml:space="preserve">  </w:t>
      </w:r>
    </w:p>
    <w:p w14:paraId="149ABE11">
      <w:pPr>
        <w:pStyle w:val="8"/>
        <w:spacing w:line="360" w:lineRule="auto"/>
        <w:ind w:firstLine="210" w:firstLineChars="100"/>
        <w:rPr>
          <w:rFonts w:ascii="宋体" w:hAnsi="宋体" w:eastAsia="宋体" w:cs="宋体"/>
          <w:kern w:val="0"/>
        </w:rPr>
      </w:pPr>
    </w:p>
    <w:p w14:paraId="4A34DAC8">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3" w:edGrp="everyone"/>
      <w:r>
        <w:rPr>
          <w:rFonts w:hint="eastAsia" w:ascii="宋体" w:hAnsi="宋体" w:eastAsia="宋体" w:cs="宋体"/>
          <w:kern w:val="0"/>
        </w:rPr>
        <w:t xml:space="preserve">            </w:t>
      </w:r>
    </w:p>
    <w:permEnd w:id="23"/>
    <w:p w14:paraId="6A96DDFB">
      <w:pPr>
        <w:pStyle w:val="8"/>
        <w:spacing w:line="360" w:lineRule="auto"/>
        <w:ind w:firstLine="210" w:firstLineChars="100"/>
        <w:rPr>
          <w:rFonts w:ascii="宋体" w:hAnsi="宋体" w:eastAsia="宋体" w:cs="宋体"/>
          <w:kern w:val="0"/>
        </w:rPr>
      </w:pPr>
    </w:p>
    <w:p w14:paraId="12D29F59">
      <w:pPr>
        <w:pStyle w:val="8"/>
        <w:spacing w:line="360" w:lineRule="auto"/>
        <w:ind w:firstLine="210" w:firstLineChars="100"/>
        <w:rPr>
          <w:rFonts w:ascii="宋体" w:hAnsi="宋体" w:eastAsia="宋体" w:cs="宋体"/>
          <w:kern w:val="0"/>
        </w:rPr>
      </w:pPr>
    </w:p>
    <w:p w14:paraId="048BD435">
      <w:pPr>
        <w:pStyle w:val="8"/>
        <w:spacing w:line="360" w:lineRule="auto"/>
        <w:ind w:firstLine="210" w:firstLineChars="100"/>
        <w:rPr>
          <w:rFonts w:ascii="宋体" w:hAnsi="宋体" w:eastAsia="宋体" w:cs="宋体"/>
          <w:kern w:val="0"/>
        </w:rPr>
      </w:pPr>
    </w:p>
    <w:p w14:paraId="501FADE0">
      <w:pPr>
        <w:pStyle w:val="8"/>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4" w:edGrp="everyone"/>
      <w:r>
        <w:rPr>
          <w:rFonts w:hint="eastAsia" w:ascii="宋体" w:hAnsi="宋体" w:eastAsia="宋体" w:cs="宋体"/>
          <w:kern w:val="0"/>
        </w:rPr>
        <w:t xml:space="preserve"> </w:t>
      </w:r>
      <w:r>
        <w:rPr>
          <w:rFonts w:hint="eastAsia" w:ascii="宋体" w:hAnsi="宋体" w:eastAsia="宋体" w:cs="宋体"/>
          <w:i w:val="0"/>
          <w:iCs w:val="0"/>
          <w:caps w:val="0"/>
          <w:color w:val="auto"/>
          <w:spacing w:val="0"/>
          <w:sz w:val="21"/>
          <w:szCs w:val="21"/>
          <w:u w:color="000000"/>
          <w:shd w:val="clear"/>
          <w:lang w:val="zh-Hans" w:eastAsia="zh-CN"/>
        </w:rPr>
        <w:t>庐山市海朗信息科技有限公司</w:t>
      </w:r>
    </w:p>
    <w:permEnd w:id="24"/>
    <w:p w14:paraId="7A51DEFE">
      <w:pPr>
        <w:pStyle w:val="8"/>
        <w:spacing w:line="360" w:lineRule="auto"/>
        <w:rPr>
          <w:rFonts w:ascii="宋体" w:hAnsi="宋体" w:eastAsia="宋体" w:cs="宋体"/>
          <w:kern w:val="0"/>
        </w:rPr>
      </w:pPr>
    </w:p>
    <w:p w14:paraId="1E35E5DA">
      <w:pPr>
        <w:pStyle w:val="8"/>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5" w:edGrp="everyone"/>
      <w:r>
        <w:rPr>
          <w:rFonts w:hint="eastAsia" w:ascii="宋体" w:hAnsi="宋体" w:eastAsia="宋体" w:cs="宋体"/>
          <w:kern w:val="0"/>
        </w:rPr>
        <w:tab/>
      </w:r>
      <w:r>
        <w:rPr>
          <w:rFonts w:hint="eastAsia" w:ascii="宋体" w:hAnsi="宋体" w:eastAsia="宋体" w:cs="宋体"/>
          <w:kern w:val="0"/>
        </w:rPr>
        <w:t xml:space="preserve">              </w:t>
      </w:r>
      <w:permEnd w:id="25"/>
      <w:r>
        <w:rPr>
          <w:rFonts w:hint="eastAsia" w:ascii="宋体" w:hAnsi="宋体" w:eastAsia="宋体" w:cs="宋体"/>
          <w:kern w:val="0"/>
        </w:rPr>
        <w:t xml:space="preserve">                     </w:t>
      </w:r>
    </w:p>
    <w:p w14:paraId="7C19EFA0">
      <w:pPr>
        <w:pStyle w:val="8"/>
        <w:tabs>
          <w:tab w:val="center" w:pos="4470"/>
        </w:tabs>
        <w:spacing w:line="360" w:lineRule="auto"/>
        <w:rPr>
          <w:rFonts w:ascii="宋体" w:hAnsi="宋体" w:eastAsia="宋体" w:cs="宋体"/>
          <w:kern w:val="0"/>
        </w:rPr>
      </w:pPr>
    </w:p>
    <w:p w14:paraId="6CF4843D">
      <w:pPr>
        <w:pStyle w:val="8"/>
        <w:spacing w:line="380" w:lineRule="exact"/>
        <w:ind w:left="108" w:hanging="108"/>
        <w:jc w:val="left"/>
        <w:rPr>
          <w:rFonts w:ascii="宋体" w:hAnsi="宋体" w:eastAsia="宋体"/>
        </w:rPr>
      </w:pPr>
    </w:p>
    <w:p w14:paraId="635AB54F">
      <w:pPr>
        <w:rPr>
          <w:color w:val="auto"/>
          <w:lang w:eastAsia="zh-CN"/>
        </w:rPr>
      </w:pPr>
    </w:p>
    <w:p w14:paraId="19758E25">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32B8A85C">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7E2D851">
      <w:pPr>
        <w:rPr>
          <w:rFonts w:cs="Times New Roman"/>
          <w:color w:val="auto"/>
          <w:sz w:val="20"/>
          <w:szCs w:val="20"/>
          <w:lang w:eastAsia="zh-CN"/>
        </w:rPr>
      </w:pPr>
    </w:p>
    <w:p w14:paraId="41A1CF18">
      <w:pPr>
        <w:rPr>
          <w:rFonts w:cs="Times New Roman"/>
          <w:color w:val="auto"/>
          <w:sz w:val="20"/>
          <w:szCs w:val="20"/>
          <w:lang w:eastAsia="zh-CN"/>
        </w:rPr>
      </w:pPr>
    </w:p>
    <w:p w14:paraId="12FD3CA7">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0CDD5849">
      <w:pPr>
        <w:pStyle w:val="3"/>
        <w:spacing w:before="3"/>
        <w:rPr>
          <w:b/>
          <w:sz w:val="30"/>
          <w:szCs w:val="30"/>
        </w:rPr>
      </w:pPr>
    </w:p>
    <w:p w14:paraId="6C9DF86C">
      <w:pPr>
        <w:pStyle w:val="3"/>
        <w:tabs>
          <w:tab w:val="left" w:pos="3268"/>
          <w:tab w:val="left" w:pos="4532"/>
        </w:tabs>
        <w:spacing w:line="440" w:lineRule="exact"/>
        <w:ind w:firstLine="600" w:firstLineChars="200"/>
        <w:rPr>
          <w:sz w:val="30"/>
          <w:szCs w:val="30"/>
        </w:rPr>
      </w:pPr>
      <w:r>
        <w:rPr>
          <w:sz w:val="30"/>
          <w:szCs w:val="30"/>
        </w:rPr>
        <w:t>本公司主要从事</w:t>
      </w:r>
      <w:permStart w:id="26" w:edGrp="everyone"/>
      <w:r>
        <w:rPr>
          <w:rFonts w:hint="eastAsia"/>
          <w:spacing w:val="-22"/>
          <w:sz w:val="30"/>
          <w:szCs w:val="30"/>
          <w:u w:val="single"/>
          <w:lang w:val="en-US"/>
        </w:rPr>
        <w:t xml:space="preserve">       </w:t>
      </w:r>
      <w:r>
        <w:rPr>
          <w:rFonts w:hint="eastAsia"/>
          <w:sz w:val="30"/>
          <w:szCs w:val="30"/>
          <w:u w:val="single"/>
          <w:lang w:val="en-US"/>
        </w:rPr>
        <w:t xml:space="preserve">  </w:t>
      </w:r>
      <w:permEnd w:id="26"/>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7"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7"/>
      <w:r>
        <w:rPr>
          <w:sz w:val="30"/>
          <w:szCs w:val="30"/>
        </w:rPr>
        <w:t>项之服务，现委托【</w:t>
      </w:r>
      <w:r>
        <w:rPr>
          <w:rFonts w:hint="eastAsia"/>
          <w:sz w:val="30"/>
          <w:szCs w:val="30"/>
          <w:lang w:eastAsia="zh-CN"/>
        </w:rPr>
        <w:t xml:space="preserve">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633EA7CB">
      <w:pPr>
        <w:pStyle w:val="3"/>
      </w:pPr>
    </w:p>
    <w:p w14:paraId="660D7D27">
      <w:pPr>
        <w:pStyle w:val="3"/>
        <w:spacing w:before="1"/>
        <w:rPr>
          <w:sz w:val="37"/>
        </w:rPr>
      </w:pPr>
    </w:p>
    <w:p w14:paraId="4BDCC09E">
      <w:pPr>
        <w:pStyle w:val="3"/>
        <w:spacing w:before="1"/>
        <w:rPr>
          <w:sz w:val="37"/>
        </w:rPr>
      </w:pPr>
    </w:p>
    <w:p w14:paraId="722FBCED">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0D8B7DAD">
      <w:pPr>
        <w:pStyle w:val="3"/>
        <w:rPr>
          <w:sz w:val="22"/>
        </w:rPr>
      </w:pPr>
    </w:p>
    <w:p w14:paraId="411699E5">
      <w:pPr>
        <w:pStyle w:val="3"/>
        <w:spacing w:before="12"/>
        <w:rPr>
          <w:sz w:val="31"/>
        </w:rPr>
      </w:pPr>
    </w:p>
    <w:p w14:paraId="6D9190E4">
      <w:pPr>
        <w:pStyle w:val="3"/>
        <w:wordWrap w:val="0"/>
        <w:ind w:right="217"/>
        <w:jc w:val="right"/>
        <w:rPr>
          <w:lang w:val="en-US"/>
        </w:rPr>
      </w:pPr>
      <w:r>
        <w:rPr>
          <w:w w:val="95"/>
        </w:rPr>
        <w:t>日期：</w:t>
      </w:r>
      <w:permStart w:id="28" w:edGrp="everyone"/>
      <w:r>
        <w:rPr>
          <w:rFonts w:hint="eastAsia"/>
          <w:w w:val="95"/>
          <w:lang w:val="en-US"/>
        </w:rPr>
        <w:t xml:space="preserve"> </w:t>
      </w:r>
      <w:permEnd w:id="28"/>
      <w:r>
        <w:rPr>
          <w:rFonts w:hint="eastAsia"/>
          <w:w w:val="95"/>
          <w:lang w:val="en-US"/>
        </w:rPr>
        <w:t xml:space="preserve">  </w:t>
      </w:r>
    </w:p>
    <w:p w14:paraId="16375CF7">
      <w:pPr>
        <w:pStyle w:val="3"/>
        <w:spacing w:before="9"/>
        <w:rPr>
          <w:sz w:val="17"/>
        </w:rPr>
      </w:pPr>
    </w:p>
    <w:p w14:paraId="2318014B">
      <w:pPr>
        <w:pStyle w:val="3"/>
        <w:rPr>
          <w:sz w:val="20"/>
        </w:rPr>
      </w:pPr>
    </w:p>
    <w:p w14:paraId="5DE8FE0D">
      <w:pPr>
        <w:pStyle w:val="3"/>
        <w:spacing w:before="9"/>
        <w:rPr>
          <w:sz w:val="17"/>
        </w:rPr>
      </w:pPr>
    </w:p>
    <w:tbl>
      <w:tblPr>
        <w:tblStyle w:val="6"/>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2C189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51AC4448">
            <w:pPr>
              <w:pStyle w:val="11"/>
              <w:spacing w:before="181"/>
              <w:ind w:left="113" w:right="94"/>
              <w:jc w:val="center"/>
              <w:rPr>
                <w:b/>
              </w:rPr>
            </w:pPr>
            <w:r>
              <w:rPr>
                <w:b/>
              </w:rPr>
              <w:t>序号</w:t>
            </w:r>
          </w:p>
        </w:tc>
        <w:tc>
          <w:tcPr>
            <w:tcW w:w="1464" w:type="dxa"/>
          </w:tcPr>
          <w:p w14:paraId="676EB7FF">
            <w:pPr>
              <w:pStyle w:val="11"/>
              <w:spacing w:before="181"/>
              <w:ind w:left="125" w:right="106"/>
              <w:jc w:val="center"/>
              <w:rPr>
                <w:b/>
              </w:rPr>
            </w:pPr>
            <w:r>
              <w:rPr>
                <w:b/>
              </w:rPr>
              <w:t>服务类型</w:t>
            </w:r>
          </w:p>
        </w:tc>
        <w:tc>
          <w:tcPr>
            <w:tcW w:w="3727" w:type="dxa"/>
          </w:tcPr>
          <w:p w14:paraId="7BC68323">
            <w:pPr>
              <w:pStyle w:val="11"/>
              <w:spacing w:before="181"/>
              <w:ind w:left="1328"/>
              <w:rPr>
                <w:b/>
              </w:rPr>
            </w:pPr>
            <w:r>
              <w:rPr>
                <w:b/>
              </w:rPr>
              <w:t>具体服务内容</w:t>
            </w:r>
          </w:p>
        </w:tc>
        <w:tc>
          <w:tcPr>
            <w:tcW w:w="2311" w:type="dxa"/>
          </w:tcPr>
          <w:p w14:paraId="44DD5895">
            <w:pPr>
              <w:pStyle w:val="11"/>
              <w:spacing w:before="181"/>
              <w:ind w:left="175" w:right="156"/>
              <w:jc w:val="center"/>
              <w:rPr>
                <w:b/>
              </w:rPr>
            </w:pPr>
            <w:r>
              <w:rPr>
                <w:b/>
              </w:rPr>
              <w:t>开票类目</w:t>
            </w:r>
          </w:p>
        </w:tc>
      </w:tr>
      <w:tr w14:paraId="02CABB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24503846">
            <w:pPr>
              <w:pStyle w:val="11"/>
              <w:spacing w:before="1"/>
              <w:jc w:val="center"/>
              <w:rPr>
                <w:sz w:val="32"/>
              </w:rPr>
            </w:pPr>
          </w:p>
          <w:p w14:paraId="41CD1E1E">
            <w:pPr>
              <w:pStyle w:val="11"/>
              <w:ind w:left="19"/>
              <w:jc w:val="center"/>
              <w:rPr>
                <w:sz w:val="24"/>
              </w:rPr>
            </w:pPr>
            <w:r>
              <w:rPr>
                <w:sz w:val="24"/>
              </w:rPr>
              <w:t>1</w:t>
            </w:r>
          </w:p>
        </w:tc>
        <w:tc>
          <w:tcPr>
            <w:tcW w:w="1464" w:type="dxa"/>
            <w:vAlign w:val="center"/>
          </w:tcPr>
          <w:p w14:paraId="0D69343F">
            <w:pPr>
              <w:jc w:val="center"/>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eastAsia="zh-CN" w:bidi="zh-CN"/>
              </w:rPr>
              <w:t>技术服务</w:t>
            </w:r>
          </w:p>
        </w:tc>
        <w:tc>
          <w:tcPr>
            <w:tcW w:w="3727" w:type="dxa"/>
          </w:tcPr>
          <w:p w14:paraId="5D176EDF">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eastAsia="zh-CN" w:bidi="zh-CN"/>
              </w:rPr>
              <w:t>指气象服务、地震服务、海洋服务、测绘服务、城市规划、环境与生态监测服务等专项技术服务。</w:t>
            </w:r>
          </w:p>
        </w:tc>
        <w:tc>
          <w:tcPr>
            <w:tcW w:w="2311" w:type="dxa"/>
            <w:vAlign w:val="center"/>
          </w:tcPr>
          <w:p w14:paraId="79E03A09">
            <w:pPr>
              <w:jc w:val="center"/>
              <w:textAlignment w:val="top"/>
              <w:rPr>
                <w:rFonts w:ascii="宋体" w:hAnsi="宋体" w:eastAsia="宋体" w:cs="宋体"/>
                <w:color w:val="auto"/>
                <w:sz w:val="16"/>
                <w:szCs w:val="22"/>
                <w:lang w:val="zh-CN" w:eastAsia="zh-CN" w:bidi="zh-CN"/>
              </w:rPr>
            </w:pPr>
            <w:r>
              <w:rPr>
                <w:rFonts w:hint="eastAsia" w:ascii="宋体" w:hAnsi="宋体" w:eastAsia="宋体" w:cs="宋体"/>
                <w:color w:val="auto"/>
                <w:sz w:val="16"/>
                <w:szCs w:val="22"/>
                <w:lang w:eastAsia="zh-CN" w:bidi="zh-CN"/>
              </w:rPr>
              <w:t>现代服务*技术服务</w:t>
            </w:r>
          </w:p>
        </w:tc>
      </w:tr>
      <w:tr w14:paraId="27D287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3CF52E91">
            <w:pPr>
              <w:pStyle w:val="11"/>
              <w:spacing w:before="5"/>
              <w:jc w:val="center"/>
              <w:rPr>
                <w:sz w:val="31"/>
              </w:rPr>
            </w:pPr>
          </w:p>
          <w:p w14:paraId="2C6CA629">
            <w:pPr>
              <w:pStyle w:val="11"/>
              <w:ind w:left="236"/>
              <w:jc w:val="both"/>
              <w:rPr>
                <w:rFonts w:hint="default" w:eastAsia="宋体"/>
                <w:sz w:val="24"/>
                <w:lang w:val="en-US" w:eastAsia="zh-CN"/>
              </w:rPr>
            </w:pPr>
            <w:r>
              <w:rPr>
                <w:rFonts w:hint="eastAsia"/>
                <w:sz w:val="24"/>
                <w:lang w:val="en-US" w:eastAsia="zh-CN"/>
              </w:rPr>
              <w:t>2</w:t>
            </w:r>
          </w:p>
        </w:tc>
        <w:tc>
          <w:tcPr>
            <w:tcW w:w="1464" w:type="dxa"/>
            <w:vAlign w:val="center"/>
          </w:tcPr>
          <w:p w14:paraId="5EB571D2">
            <w:pPr>
              <w:jc w:val="center"/>
              <w:textAlignment w:val="top"/>
              <w:rPr>
                <w:color w:val="auto"/>
                <w:sz w:val="16"/>
              </w:rPr>
            </w:pPr>
            <w:r>
              <w:rPr>
                <w:rFonts w:hint="eastAsia" w:ascii="宋体" w:hAnsi="宋体" w:eastAsia="宋体" w:cs="宋体"/>
                <w:color w:val="auto"/>
                <w:sz w:val="16"/>
                <w:szCs w:val="16"/>
                <w:lang w:eastAsia="zh-CN" w:bidi="ar"/>
              </w:rPr>
              <w:t>广告代理服务</w:t>
            </w:r>
          </w:p>
        </w:tc>
        <w:tc>
          <w:tcPr>
            <w:tcW w:w="3727" w:type="dxa"/>
          </w:tcPr>
          <w:p w14:paraId="35F55154">
            <w:pPr>
              <w:autoSpaceDE w:val="0"/>
              <w:autoSpaceDN w:val="0"/>
              <w:spacing w:before="120" w:beforeLines="50" w:line="240" w:lineRule="exact"/>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指广告经营者接受广告或广告发布者委托，从事广告媒介安排等经营活动。</w:t>
            </w:r>
          </w:p>
        </w:tc>
        <w:tc>
          <w:tcPr>
            <w:tcW w:w="2311" w:type="dxa"/>
            <w:vAlign w:val="center"/>
          </w:tcPr>
          <w:p w14:paraId="164749E4">
            <w:pPr>
              <w:jc w:val="center"/>
              <w:textAlignment w:val="top"/>
              <w:rPr>
                <w:color w:val="auto"/>
                <w:sz w:val="16"/>
                <w:lang w:eastAsia="zh-CN"/>
              </w:rPr>
            </w:pPr>
            <w:r>
              <w:rPr>
                <w:rFonts w:hint="eastAsia" w:ascii="宋体" w:hAnsi="宋体" w:eastAsia="宋体" w:cs="宋体"/>
                <w:color w:val="auto"/>
                <w:sz w:val="16"/>
                <w:szCs w:val="16"/>
                <w:lang w:eastAsia="zh-CN" w:bidi="ar"/>
              </w:rPr>
              <w:t>*广告代理服务*广告服务</w:t>
            </w:r>
          </w:p>
        </w:tc>
      </w:tr>
      <w:tr w14:paraId="790CB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523BE1BD">
            <w:pPr>
              <w:pStyle w:val="11"/>
              <w:ind w:right="213"/>
              <w:jc w:val="center"/>
              <w:rPr>
                <w:rFonts w:hint="default" w:eastAsia="宋体"/>
                <w:sz w:val="24"/>
                <w:lang w:val="en-US" w:eastAsia="zh-CN"/>
              </w:rPr>
            </w:pPr>
            <w:r>
              <w:rPr>
                <w:rFonts w:hint="eastAsia"/>
                <w:sz w:val="24"/>
                <w:lang w:val="en-US" w:eastAsia="zh-CN"/>
              </w:rPr>
              <w:t xml:space="preserve"> 3</w:t>
            </w:r>
          </w:p>
        </w:tc>
        <w:tc>
          <w:tcPr>
            <w:tcW w:w="1464" w:type="dxa"/>
            <w:tcBorders>
              <w:top w:val="nil"/>
            </w:tcBorders>
            <w:vAlign w:val="center"/>
          </w:tcPr>
          <w:p w14:paraId="6ED5B56E">
            <w:pPr>
              <w:jc w:val="center"/>
              <w:textAlignment w:val="top"/>
              <w:rPr>
                <w:color w:val="auto"/>
                <w:sz w:val="16"/>
              </w:rPr>
            </w:pPr>
            <w:r>
              <w:rPr>
                <w:rFonts w:hint="eastAsia" w:ascii="宋体" w:hAnsi="宋体" w:eastAsia="宋体" w:cs="宋体"/>
                <w:color w:val="auto"/>
                <w:sz w:val="16"/>
                <w:szCs w:val="16"/>
                <w:lang w:eastAsia="zh-CN" w:bidi="ar"/>
              </w:rPr>
              <w:t>装卸搬运服务</w:t>
            </w:r>
          </w:p>
        </w:tc>
        <w:tc>
          <w:tcPr>
            <w:tcW w:w="3727" w:type="dxa"/>
            <w:tcBorders>
              <w:top w:val="nil"/>
            </w:tcBorders>
          </w:tcPr>
          <w:p w14:paraId="67710CFC">
            <w:pPr>
              <w:autoSpaceDE w:val="0"/>
              <w:autoSpaceDN w:val="0"/>
              <w:spacing w:before="120" w:beforeLines="50"/>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vAlign w:val="center"/>
          </w:tcPr>
          <w:p w14:paraId="41F9B7FD">
            <w:pPr>
              <w:jc w:val="center"/>
              <w:textAlignment w:val="top"/>
              <w:rPr>
                <w:color w:val="auto"/>
                <w:sz w:val="16"/>
                <w:lang w:eastAsia="zh-CN"/>
              </w:rPr>
            </w:pPr>
            <w:r>
              <w:rPr>
                <w:rFonts w:hint="eastAsia" w:ascii="宋体" w:hAnsi="宋体" w:eastAsia="宋体" w:cs="宋体"/>
                <w:color w:val="auto"/>
                <w:sz w:val="16"/>
                <w:szCs w:val="16"/>
                <w:lang w:eastAsia="zh-CN" w:bidi="ar"/>
              </w:rPr>
              <w:t>物流辅助服务*装卸搬运服务</w:t>
            </w:r>
          </w:p>
        </w:tc>
      </w:tr>
      <w:tr w14:paraId="63910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4DDEC094">
            <w:pPr>
              <w:pStyle w:val="11"/>
              <w:ind w:right="213"/>
              <w:jc w:val="center"/>
              <w:rPr>
                <w:sz w:val="24"/>
              </w:rPr>
            </w:pPr>
          </w:p>
          <w:p w14:paraId="46D6CE7F">
            <w:pPr>
              <w:pStyle w:val="11"/>
              <w:ind w:right="213"/>
              <w:jc w:val="center"/>
              <w:rPr>
                <w:rFonts w:hint="default" w:eastAsia="宋体"/>
                <w:sz w:val="24"/>
                <w:lang w:val="en-US" w:eastAsia="zh-CN"/>
              </w:rPr>
            </w:pPr>
            <w:r>
              <w:rPr>
                <w:rFonts w:hint="eastAsia"/>
                <w:sz w:val="24"/>
                <w:lang w:val="en-US" w:eastAsia="zh-CN"/>
              </w:rPr>
              <w:t>4</w:t>
            </w:r>
          </w:p>
        </w:tc>
        <w:tc>
          <w:tcPr>
            <w:tcW w:w="1464" w:type="dxa"/>
            <w:vAlign w:val="center"/>
          </w:tcPr>
          <w:p w14:paraId="642AE91E">
            <w:pPr>
              <w:jc w:val="center"/>
              <w:textAlignment w:val="top"/>
              <w:rPr>
                <w:color w:val="auto"/>
                <w:sz w:val="16"/>
              </w:rPr>
            </w:pPr>
            <w:r>
              <w:rPr>
                <w:rFonts w:hint="eastAsia" w:ascii="宋体" w:hAnsi="宋体" w:eastAsia="宋体" w:cs="宋体"/>
                <w:color w:val="auto"/>
                <w:sz w:val="16"/>
                <w:szCs w:val="16"/>
                <w:lang w:eastAsia="zh-CN" w:bidi="ar"/>
              </w:rPr>
              <w:t>文化服务</w:t>
            </w:r>
          </w:p>
        </w:tc>
        <w:tc>
          <w:tcPr>
            <w:tcW w:w="3727" w:type="dxa"/>
          </w:tcPr>
          <w:p w14:paraId="40E8FB5F">
            <w:pPr>
              <w:autoSpaceDE w:val="0"/>
              <w:autoSpaceDN w:val="0"/>
              <w:spacing w:before="120" w:beforeLines="50"/>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为满足社会公众文化生活需求提供的各种服务。包括文艺创作、文艺表演、文化比赛、图书馆的图书和资料借阅、档案馆的档案管理、文物及非物质遗产保护、组织举办宗教活动、科技活动、文化活动。</w:t>
            </w:r>
          </w:p>
        </w:tc>
        <w:tc>
          <w:tcPr>
            <w:tcW w:w="2311" w:type="dxa"/>
            <w:vAlign w:val="center"/>
          </w:tcPr>
          <w:p w14:paraId="50B53094">
            <w:pPr>
              <w:jc w:val="center"/>
              <w:textAlignment w:val="top"/>
              <w:rPr>
                <w:color w:val="auto"/>
                <w:sz w:val="16"/>
              </w:rPr>
            </w:pPr>
            <w:r>
              <w:rPr>
                <w:rFonts w:hint="eastAsia" w:ascii="宋体" w:hAnsi="宋体" w:eastAsia="宋体" w:cs="宋体"/>
                <w:color w:val="auto"/>
                <w:sz w:val="16"/>
                <w:szCs w:val="16"/>
                <w:lang w:eastAsia="zh-CN" w:bidi="ar"/>
              </w:rPr>
              <w:t>*文化服务*文化服务费</w:t>
            </w:r>
          </w:p>
        </w:tc>
      </w:tr>
      <w:tr w14:paraId="3CC08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jc w:val="center"/>
        </w:trPr>
        <w:tc>
          <w:tcPr>
            <w:tcW w:w="656" w:type="dxa"/>
          </w:tcPr>
          <w:p w14:paraId="494E66CC">
            <w:pPr>
              <w:pStyle w:val="11"/>
              <w:spacing w:before="4"/>
              <w:jc w:val="center"/>
              <w:rPr>
                <w:sz w:val="31"/>
              </w:rPr>
            </w:pPr>
          </w:p>
          <w:p w14:paraId="2B6F43D2">
            <w:pPr>
              <w:pStyle w:val="11"/>
              <w:ind w:right="213"/>
              <w:jc w:val="center"/>
              <w:rPr>
                <w:rFonts w:hint="default" w:eastAsia="宋体"/>
                <w:sz w:val="24"/>
                <w:lang w:val="en-US" w:eastAsia="zh-CN"/>
              </w:rPr>
            </w:pPr>
            <w:r>
              <w:rPr>
                <w:rFonts w:hint="eastAsia"/>
                <w:sz w:val="24"/>
                <w:lang w:val="en-US" w:eastAsia="zh-CN"/>
              </w:rPr>
              <w:t>5</w:t>
            </w:r>
          </w:p>
        </w:tc>
        <w:tc>
          <w:tcPr>
            <w:tcW w:w="1464" w:type="dxa"/>
            <w:vAlign w:val="center"/>
          </w:tcPr>
          <w:p w14:paraId="644D1333">
            <w:pPr>
              <w:jc w:val="center"/>
              <w:textAlignment w:val="top"/>
              <w:rPr>
                <w:color w:val="auto"/>
                <w:sz w:val="16"/>
              </w:rPr>
            </w:pPr>
            <w:r>
              <w:rPr>
                <w:rFonts w:hint="eastAsia" w:ascii="宋体" w:hAnsi="宋体" w:eastAsia="宋体" w:cs="宋体"/>
                <w:color w:val="auto"/>
                <w:sz w:val="16"/>
                <w:szCs w:val="16"/>
                <w:lang w:eastAsia="zh-CN" w:bidi="ar"/>
              </w:rPr>
              <w:t>市场推广</w:t>
            </w:r>
          </w:p>
        </w:tc>
        <w:tc>
          <w:tcPr>
            <w:tcW w:w="3727" w:type="dxa"/>
          </w:tcPr>
          <w:p w14:paraId="740AE01A">
            <w:pPr>
              <w:autoSpaceDE w:val="0"/>
              <w:autoSpaceDN w:val="0"/>
              <w:spacing w:before="120" w:beforeLines="50"/>
              <w:ind w:left="72" w:leftChars="30" w:right="67" w:rightChars="28"/>
              <w:textAlignment w:val="top"/>
              <w:rPr>
                <w:color w:val="auto"/>
                <w:sz w:val="16"/>
                <w:lang w:eastAsia="zh-CN"/>
              </w:rPr>
            </w:pPr>
            <w:r>
              <w:rPr>
                <w:rFonts w:hint="eastAsia" w:ascii="宋体" w:hAnsi="宋体" w:eastAsia="宋体" w:cs="宋体"/>
                <w:color w:val="auto"/>
                <w:sz w:val="16"/>
                <w:szCs w:val="16"/>
                <w:lang w:eastAsia="zh-CN" w:bidi="ar"/>
              </w:rPr>
              <w:t>通过线上推广和线下推广等方式提高甲方（包括但不限于甲方App\网站等）知名度和点击量，其中线上推广方式包括但不限于在各类社交平台或线上社群发帖、转帖、发优惠券等，线下推广方式包括但不限于贴海报、发传单、发赠品/试用品等。</w:t>
            </w:r>
          </w:p>
        </w:tc>
        <w:tc>
          <w:tcPr>
            <w:tcW w:w="2311" w:type="dxa"/>
            <w:vAlign w:val="center"/>
          </w:tcPr>
          <w:p w14:paraId="3312238D">
            <w:pPr>
              <w:jc w:val="center"/>
              <w:textAlignment w:val="top"/>
              <w:rPr>
                <w:color w:val="auto"/>
                <w:sz w:val="16"/>
              </w:rPr>
            </w:pPr>
            <w:r>
              <w:rPr>
                <w:rFonts w:hint="eastAsia" w:ascii="宋体" w:hAnsi="宋体" w:eastAsia="宋体" w:cs="宋体"/>
                <w:color w:val="auto"/>
                <w:sz w:val="16"/>
                <w:szCs w:val="16"/>
                <w:lang w:eastAsia="zh-CN" w:bidi="ar"/>
              </w:rPr>
              <w:t>现代服务</w:t>
            </w:r>
            <w:r>
              <w:rPr>
                <w:rFonts w:hint="eastAsia" w:cs="宋体"/>
                <w:color w:val="auto"/>
                <w:sz w:val="16"/>
                <w:szCs w:val="16"/>
                <w:lang w:eastAsia="zh-CN" w:bidi="ar"/>
              </w:rPr>
              <w:t>*</w:t>
            </w:r>
            <w:r>
              <w:rPr>
                <w:rFonts w:hint="eastAsia" w:ascii="宋体" w:hAnsi="宋体" w:eastAsia="宋体" w:cs="宋体"/>
                <w:color w:val="auto"/>
                <w:sz w:val="16"/>
                <w:szCs w:val="16"/>
                <w:lang w:eastAsia="zh-CN" w:bidi="ar"/>
              </w:rPr>
              <w:t>市场推广</w:t>
            </w:r>
          </w:p>
        </w:tc>
      </w:tr>
      <w:tr w14:paraId="426CF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77E13228">
            <w:pPr>
              <w:pStyle w:val="11"/>
              <w:ind w:right="213"/>
              <w:jc w:val="center"/>
              <w:rPr>
                <w:rFonts w:hint="default" w:eastAsia="宋体"/>
                <w:sz w:val="24"/>
                <w:lang w:val="en-US" w:eastAsia="zh-CN"/>
              </w:rPr>
            </w:pPr>
            <w:permStart w:id="29" w:edGrp="everyone" w:colFirst="1" w:colLast="1"/>
            <w:permStart w:id="30" w:edGrp="everyone" w:colFirst="2" w:colLast="2"/>
            <w:permStart w:id="31" w:edGrp="everyone" w:colFirst="3" w:colLast="3"/>
            <w:r>
              <w:rPr>
                <w:rFonts w:hint="eastAsia"/>
                <w:sz w:val="24"/>
                <w:lang w:val="en-US" w:eastAsia="zh-CN"/>
              </w:rPr>
              <w:t>6</w:t>
            </w:r>
          </w:p>
        </w:tc>
        <w:tc>
          <w:tcPr>
            <w:tcW w:w="1464" w:type="dxa"/>
            <w:vAlign w:val="center"/>
          </w:tcPr>
          <w:p w14:paraId="538FCA7B">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2FDA95EC">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2AD144AC">
            <w:pPr>
              <w:jc w:val="center"/>
              <w:textAlignment w:val="top"/>
              <w:rPr>
                <w:rFonts w:ascii="宋体" w:hAnsi="宋体" w:eastAsia="宋体" w:cs="宋体"/>
                <w:color w:val="auto"/>
                <w:sz w:val="16"/>
                <w:szCs w:val="16"/>
                <w:lang w:eastAsia="zh-CN" w:bidi="ar"/>
              </w:rPr>
            </w:pPr>
          </w:p>
        </w:tc>
      </w:tr>
      <w:bookmarkEnd w:id="18"/>
      <w:permEnd w:id="29"/>
      <w:permEnd w:id="30"/>
      <w:permEnd w:id="31"/>
    </w:tbl>
    <w:p w14:paraId="0F75882A">
      <w:pPr>
        <w:keepNext w:val="0"/>
        <w:keepLines w:val="0"/>
        <w:pageBreakBefore w:val="0"/>
        <w:kinsoku/>
        <w:wordWrap/>
        <w:overflowPunct/>
        <w:topLinePunct w:val="0"/>
        <w:autoSpaceDE/>
        <w:autoSpaceDN/>
        <w:bidi w:val="0"/>
        <w:adjustRightInd w:val="0"/>
        <w:snapToGrid w:val="0"/>
        <w:spacing w:line="336" w:lineRule="auto"/>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E4909">
    <w:pPr>
      <w:pStyle w:val="4"/>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2932F7">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D2932F7">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C84A5">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trackRevisions w:val="1"/>
  <w:documentProtection w:edit="readOnly" w:enforcement="1" w:cryptProviderType="rsaFull" w:cryptAlgorithmClass="hash" w:cryptAlgorithmType="typeAny" w:cryptAlgorithmSid="4" w:cryptSpinCount="0" w:hash="p5Og7eru6ZN0qhxuoWAOb431nqk=" w:salt="RX/WyO3XJ9efU62lItpVr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mOTgzZGM3YjUxMTg2M2Y2MWM0YzZkMThkYzg1Y2M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3970071"/>
    <w:rsid w:val="074964DE"/>
    <w:rsid w:val="0782145E"/>
    <w:rsid w:val="07C37CC9"/>
    <w:rsid w:val="089776AB"/>
    <w:rsid w:val="0B5F724D"/>
    <w:rsid w:val="0D4F45B4"/>
    <w:rsid w:val="0EC046DA"/>
    <w:rsid w:val="0ED95820"/>
    <w:rsid w:val="13255877"/>
    <w:rsid w:val="15F95A30"/>
    <w:rsid w:val="165B49FC"/>
    <w:rsid w:val="1901316B"/>
    <w:rsid w:val="1B8D036C"/>
    <w:rsid w:val="1BF350F9"/>
    <w:rsid w:val="1CE560B8"/>
    <w:rsid w:val="1DDC01DA"/>
    <w:rsid w:val="1FF7500F"/>
    <w:rsid w:val="20311AF6"/>
    <w:rsid w:val="21ED6563"/>
    <w:rsid w:val="23A67A49"/>
    <w:rsid w:val="27895B59"/>
    <w:rsid w:val="27F207B3"/>
    <w:rsid w:val="27F9788E"/>
    <w:rsid w:val="282C568B"/>
    <w:rsid w:val="29066761"/>
    <w:rsid w:val="29EB7FE5"/>
    <w:rsid w:val="2BB65915"/>
    <w:rsid w:val="2BC01D66"/>
    <w:rsid w:val="2C2D23F0"/>
    <w:rsid w:val="2D980C7B"/>
    <w:rsid w:val="30B72C82"/>
    <w:rsid w:val="325712BE"/>
    <w:rsid w:val="32D814F9"/>
    <w:rsid w:val="34C51845"/>
    <w:rsid w:val="35B23E68"/>
    <w:rsid w:val="36EC7EB3"/>
    <w:rsid w:val="38E857BE"/>
    <w:rsid w:val="3AA94D74"/>
    <w:rsid w:val="41326E0A"/>
    <w:rsid w:val="41390160"/>
    <w:rsid w:val="41911D83"/>
    <w:rsid w:val="41D93BE5"/>
    <w:rsid w:val="451A3E3D"/>
    <w:rsid w:val="45D306E0"/>
    <w:rsid w:val="475950F1"/>
    <w:rsid w:val="47A12BF2"/>
    <w:rsid w:val="487D49E5"/>
    <w:rsid w:val="4A39325E"/>
    <w:rsid w:val="4A5075DB"/>
    <w:rsid w:val="4AE264A0"/>
    <w:rsid w:val="4C235CCD"/>
    <w:rsid w:val="4C325F10"/>
    <w:rsid w:val="4CD5641A"/>
    <w:rsid w:val="4FCC1877"/>
    <w:rsid w:val="4FEA18CF"/>
    <w:rsid w:val="5055634D"/>
    <w:rsid w:val="51311F4D"/>
    <w:rsid w:val="529C59AA"/>
    <w:rsid w:val="52B63DC3"/>
    <w:rsid w:val="535D5739"/>
    <w:rsid w:val="53FD07F3"/>
    <w:rsid w:val="54373AB8"/>
    <w:rsid w:val="56084F0B"/>
    <w:rsid w:val="574F0790"/>
    <w:rsid w:val="57711FE2"/>
    <w:rsid w:val="57AF7D74"/>
    <w:rsid w:val="58E35F8D"/>
    <w:rsid w:val="5AB07923"/>
    <w:rsid w:val="5E1216FE"/>
    <w:rsid w:val="5E4E63F7"/>
    <w:rsid w:val="5E550019"/>
    <w:rsid w:val="5E9021F6"/>
    <w:rsid w:val="62C1629C"/>
    <w:rsid w:val="675A68D5"/>
    <w:rsid w:val="67E0351E"/>
    <w:rsid w:val="68880F3A"/>
    <w:rsid w:val="68A85138"/>
    <w:rsid w:val="70422316"/>
    <w:rsid w:val="708F7349"/>
    <w:rsid w:val="721E7ADB"/>
    <w:rsid w:val="73426ADB"/>
    <w:rsid w:val="7593360C"/>
    <w:rsid w:val="75972F9E"/>
    <w:rsid w:val="76C92983"/>
    <w:rsid w:val="77D41173"/>
    <w:rsid w:val="79627585"/>
    <w:rsid w:val="7A3945A5"/>
    <w:rsid w:val="7B5F3D7C"/>
    <w:rsid w:val="7D80622C"/>
    <w:rsid w:val="7F0713ED"/>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4">
    <w:name w:val="footer"/>
    <w:basedOn w:val="1"/>
    <w:autoRedefine/>
    <w:unhideWhenUsed/>
    <w:qFormat/>
    <w:uiPriority w:val="99"/>
    <w:pPr>
      <w:tabs>
        <w:tab w:val="center" w:pos="4153"/>
        <w:tab w:val="right" w:pos="8306"/>
      </w:tabs>
      <w:snapToGrid w:val="0"/>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9">
    <w:name w:val="页码1"/>
    <w:autoRedefine/>
    <w:qFormat/>
    <w:uiPriority w:val="0"/>
    <w:rPr>
      <w:lang w:val="en-US"/>
    </w:rPr>
  </w:style>
  <w:style w:type="paragraph" w:customStyle="1" w:styleId="10">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1">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3536</Words>
  <Characters>3573</Characters>
  <Lines>75</Lines>
  <Paragraphs>21</Paragraphs>
  <TotalTime>0</TotalTime>
  <ScaleCrop>false</ScaleCrop>
  <LinksUpToDate>false</LinksUpToDate>
  <CharactersWithSpaces>3663</CharactersWithSpaces>
  <Application>WPS Office_12.1.0.18608_F1E327BC-269C-435d-A152-05C5408002CA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2024-11-20T08:57:43Z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B3EDFC0E47574D71AEF6A90BD5D5CAB1_13</vt:lpwstr>
  </property>
</Properties>
</file>