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62CB2">
      <w:pPr>
        <w:adjustRightInd w:val="0"/>
        <w:snapToGrid w:val="0"/>
        <w:spacing w:line="288" w:lineRule="auto"/>
        <w:jc w:val="center"/>
        <w:rPr>
          <w:rFonts w:ascii="楷体" w:hAnsi="楷体" w:eastAsia="楷体" w:cs="楷体"/>
          <w:b/>
          <w:sz w:val="22"/>
        </w:rPr>
      </w:pPr>
    </w:p>
    <w:p w14:paraId="0FB6E7EA">
      <w:pPr>
        <w:adjustRightInd w:val="0"/>
        <w:snapToGrid w:val="0"/>
        <w:spacing w:line="288" w:lineRule="auto"/>
        <w:jc w:val="center"/>
        <w:rPr>
          <w:rFonts w:ascii="楷体" w:hAnsi="楷体" w:eastAsia="楷体" w:cs="楷体"/>
          <w:b/>
          <w:sz w:val="28"/>
          <w:szCs w:val="28"/>
        </w:rPr>
      </w:pPr>
      <w:r>
        <w:rPr>
          <w:rFonts w:hint="eastAsia" w:ascii="楷体" w:hAnsi="楷体" w:eastAsia="楷体" w:cs="楷体"/>
          <w:b/>
          <w:sz w:val="28"/>
          <w:szCs w:val="28"/>
        </w:rPr>
        <w:t>合付宝灵活用工系统O</w:t>
      </w:r>
      <w:r>
        <w:rPr>
          <w:rFonts w:ascii="楷体" w:hAnsi="楷体" w:eastAsia="楷体" w:cs="楷体"/>
          <w:b/>
          <w:sz w:val="28"/>
          <w:szCs w:val="28"/>
        </w:rPr>
        <w:t>EM合作协议</w:t>
      </w:r>
      <w:r>
        <w:rPr>
          <w:rFonts w:hint="eastAsia" w:ascii="楷体" w:hAnsi="楷体" w:eastAsia="楷体" w:cs="楷体"/>
          <w:b/>
          <w:sz w:val="28"/>
          <w:szCs w:val="28"/>
        </w:rPr>
        <w:t>2.0</w:t>
      </w:r>
    </w:p>
    <w:p w14:paraId="09705DBD">
      <w:pPr>
        <w:tabs>
          <w:tab w:val="left" w:pos="435"/>
        </w:tabs>
        <w:adjustRightInd w:val="0"/>
        <w:snapToGrid w:val="0"/>
        <w:spacing w:line="288" w:lineRule="auto"/>
        <w:jc w:val="right"/>
        <w:rPr>
          <w:rFonts w:ascii="楷体" w:hAnsi="楷体" w:eastAsia="楷体" w:cs="楷体"/>
          <w:sz w:val="22"/>
          <w:u w:val="single"/>
        </w:rPr>
      </w:pPr>
      <w:r>
        <w:rPr>
          <w:rFonts w:hint="eastAsia" w:ascii="楷体" w:hAnsi="楷体" w:eastAsia="楷体" w:cs="楷体"/>
          <w:sz w:val="22"/>
        </w:rPr>
        <w:t xml:space="preserve"> 编号：</w:t>
      </w:r>
      <w:permStart w:id="0" w:edGrp="everyone"/>
      <w:r>
        <w:rPr>
          <w:rFonts w:hint="eastAsia" w:ascii="楷体" w:hAnsi="楷体" w:eastAsia="楷体" w:cs="楷体"/>
          <w:sz w:val="22"/>
          <w:u w:val="single"/>
        </w:rPr>
        <w:t xml:space="preserve">                _</w:t>
      </w:r>
      <w:permEnd w:id="0"/>
    </w:p>
    <w:p w14:paraId="6D93F606">
      <w:pPr>
        <w:tabs>
          <w:tab w:val="left" w:pos="435"/>
        </w:tabs>
        <w:adjustRightInd w:val="0"/>
        <w:snapToGrid w:val="0"/>
        <w:spacing w:before="156" w:beforeLines="50" w:line="288" w:lineRule="auto"/>
        <w:rPr>
          <w:rFonts w:ascii="楷体" w:hAnsi="楷体" w:eastAsia="楷体" w:cs="楷体"/>
          <w:b/>
          <w:sz w:val="22"/>
        </w:rPr>
      </w:pPr>
    </w:p>
    <w:p w14:paraId="699B315A">
      <w:pPr>
        <w:tabs>
          <w:tab w:val="left" w:pos="435"/>
        </w:tabs>
        <w:adjustRightInd w:val="0"/>
        <w:snapToGrid w:val="0"/>
        <w:spacing w:before="156" w:beforeLines="50" w:line="288" w:lineRule="auto"/>
        <w:rPr>
          <w:rFonts w:ascii="楷体" w:hAnsi="楷体" w:eastAsia="楷体" w:cs="楷体"/>
          <w:b/>
          <w:sz w:val="22"/>
        </w:rPr>
      </w:pPr>
      <w:r>
        <w:rPr>
          <w:rFonts w:hint="eastAsia" w:ascii="楷体" w:hAnsi="楷体" w:eastAsia="楷体" w:cs="楷体"/>
          <w:b/>
          <w:sz w:val="22"/>
        </w:rPr>
        <w:t>甲方：</w:t>
      </w:r>
      <w:permStart w:id="1" w:edGrp="everyone"/>
    </w:p>
    <w:permEnd w:id="1"/>
    <w:p w14:paraId="12CA8EC7">
      <w:pPr>
        <w:tabs>
          <w:tab w:val="left" w:pos="435"/>
        </w:tabs>
        <w:adjustRightInd w:val="0"/>
        <w:snapToGrid w:val="0"/>
        <w:spacing w:before="156" w:beforeLines="50" w:line="288" w:lineRule="auto"/>
        <w:rPr>
          <w:rFonts w:ascii="楷体" w:hAnsi="楷体" w:eastAsia="楷体" w:cs="楷体"/>
          <w:b/>
          <w:sz w:val="22"/>
        </w:rPr>
      </w:pPr>
      <w:r>
        <w:rPr>
          <w:rFonts w:hint="eastAsia" w:ascii="楷体" w:hAnsi="楷体" w:eastAsia="楷体" w:cs="楷体"/>
          <w:b/>
          <w:sz w:val="22"/>
        </w:rPr>
        <w:t>乙方：</w:t>
      </w:r>
      <w:permStart w:id="2" w:edGrp="everyone"/>
      <w:r>
        <w:rPr>
          <w:rFonts w:hint="eastAsia" w:ascii="楷体" w:hAnsi="楷体" w:eastAsia="楷体" w:cs="楷体"/>
          <w:b/>
          <w:sz w:val="22"/>
        </w:rPr>
        <w:t>北京合付宝科技有限公司</w:t>
      </w:r>
      <w:bookmarkStart w:id="0" w:name="_GoBack"/>
      <w:bookmarkEnd w:id="0"/>
    </w:p>
    <w:permEnd w:id="2"/>
    <w:p w14:paraId="0102EA7E">
      <w:pPr>
        <w:tabs>
          <w:tab w:val="left" w:pos="435"/>
        </w:tabs>
        <w:adjustRightInd w:val="0"/>
        <w:snapToGrid w:val="0"/>
        <w:spacing w:before="156" w:beforeLines="50" w:line="288" w:lineRule="auto"/>
        <w:rPr>
          <w:rFonts w:ascii="楷体" w:hAnsi="楷体" w:eastAsia="楷体" w:cs="楷体"/>
          <w:b/>
          <w:sz w:val="22"/>
        </w:rPr>
      </w:pPr>
    </w:p>
    <w:p w14:paraId="6F522A56">
      <w:pPr>
        <w:tabs>
          <w:tab w:val="left" w:pos="435"/>
        </w:tabs>
        <w:adjustRightInd w:val="0"/>
        <w:snapToGrid w:val="0"/>
        <w:spacing w:before="156" w:beforeLines="50" w:line="288" w:lineRule="auto"/>
        <w:ind w:firstLine="440" w:firstLineChars="200"/>
        <w:rPr>
          <w:rFonts w:ascii="楷体" w:hAnsi="楷体" w:eastAsia="楷体" w:cs="楷体"/>
          <w:color w:val="000000"/>
          <w:sz w:val="22"/>
        </w:rPr>
      </w:pPr>
      <w:r>
        <w:rPr>
          <w:rFonts w:hint="eastAsia" w:ascii="楷体" w:hAnsi="楷体" w:eastAsia="楷体" w:cs="楷体"/>
          <w:color w:val="000000"/>
          <w:sz w:val="22"/>
        </w:rPr>
        <w:t>甲乙双方本着互惠互利、长期合作、共同发展的原则，经过友好协商，达成以下协议，以资双方共同遵守。</w:t>
      </w:r>
    </w:p>
    <w:p w14:paraId="58291308">
      <w:pPr>
        <w:pStyle w:val="18"/>
        <w:numPr>
          <w:ilvl w:val="0"/>
          <w:numId w:val="1"/>
        </w:numPr>
        <w:adjustRightInd w:val="0"/>
        <w:snapToGrid w:val="0"/>
        <w:spacing w:before="156" w:beforeLines="50" w:line="360" w:lineRule="auto"/>
        <w:ind w:right="28" w:firstLineChars="0"/>
        <w:rPr>
          <w:rFonts w:ascii="楷体" w:hAnsi="楷体" w:eastAsia="楷体" w:cs="楷体"/>
          <w:b/>
          <w:color w:val="000000"/>
          <w:sz w:val="22"/>
        </w:rPr>
      </w:pPr>
      <w:r>
        <w:rPr>
          <w:rFonts w:hint="eastAsia" w:ascii="楷体" w:hAnsi="楷体" w:eastAsia="楷体" w:cs="楷体"/>
          <w:b/>
          <w:color w:val="000000"/>
          <w:sz w:val="22"/>
        </w:rPr>
        <w:t>服务定义</w:t>
      </w:r>
    </w:p>
    <w:p w14:paraId="7A906EFF">
      <w:pPr>
        <w:pStyle w:val="18"/>
        <w:adjustRightInd w:val="0"/>
        <w:snapToGrid w:val="0"/>
        <w:spacing w:before="156" w:beforeLines="50" w:line="360" w:lineRule="auto"/>
        <w:ind w:left="440" w:right="28" w:firstLine="0" w:firstLineChars="0"/>
        <w:rPr>
          <w:rFonts w:ascii="楷体" w:hAnsi="楷体" w:eastAsia="楷体" w:cs="楷体"/>
          <w:color w:val="000000"/>
          <w:sz w:val="22"/>
        </w:rPr>
      </w:pPr>
      <w:r>
        <w:rPr>
          <w:rFonts w:hint="eastAsia" w:ascii="楷体" w:hAnsi="楷体" w:eastAsia="楷体" w:cs="楷体"/>
          <w:color w:val="000000"/>
          <w:sz w:val="22"/>
        </w:rPr>
        <w:t>甲方根据自身经营需要，将《灵活用工》系统（以下简称“灵工系统”）O</w:t>
      </w:r>
      <w:r>
        <w:rPr>
          <w:rFonts w:ascii="楷体" w:hAnsi="楷体" w:eastAsia="楷体" w:cs="楷体"/>
          <w:color w:val="000000"/>
          <w:sz w:val="22"/>
        </w:rPr>
        <w:t>EM</w:t>
      </w:r>
      <w:r>
        <w:rPr>
          <w:rFonts w:hint="eastAsia" w:ascii="楷体" w:hAnsi="楷体" w:eastAsia="楷体" w:cs="楷体"/>
          <w:color w:val="000000"/>
          <w:sz w:val="22"/>
        </w:rPr>
        <w:t>运行的技术服务工作交由具有该类技术经验的乙方承包，甲方向乙方支付系统运维服务外包费用。</w:t>
      </w:r>
    </w:p>
    <w:p w14:paraId="08FA9406">
      <w:pPr>
        <w:pStyle w:val="18"/>
        <w:numPr>
          <w:ilvl w:val="0"/>
          <w:numId w:val="1"/>
        </w:numPr>
        <w:adjustRightInd w:val="0"/>
        <w:snapToGrid w:val="0"/>
        <w:spacing w:before="156" w:beforeLines="50" w:line="360" w:lineRule="auto"/>
        <w:ind w:right="28" w:firstLineChars="0"/>
        <w:rPr>
          <w:rFonts w:ascii="楷体" w:hAnsi="楷体" w:eastAsia="楷体" w:cs="楷体"/>
          <w:b/>
          <w:color w:val="000000"/>
          <w:sz w:val="22"/>
        </w:rPr>
      </w:pPr>
      <w:r>
        <w:rPr>
          <w:rFonts w:hint="eastAsia" w:ascii="楷体" w:hAnsi="楷体" w:eastAsia="楷体" w:cs="楷体"/>
          <w:b/>
          <w:color w:val="000000"/>
          <w:sz w:val="22"/>
        </w:rPr>
        <w:t>合作的方式</w:t>
      </w:r>
    </w:p>
    <w:p w14:paraId="4F9D9744">
      <w:pPr>
        <w:pStyle w:val="18"/>
        <w:adjustRightInd w:val="0"/>
        <w:snapToGrid w:val="0"/>
        <w:spacing w:before="156" w:beforeLines="50" w:line="360" w:lineRule="auto"/>
        <w:ind w:left="440" w:right="28" w:firstLine="0" w:firstLineChars="0"/>
        <w:rPr>
          <w:rFonts w:hint="eastAsia" w:ascii="楷体" w:hAnsi="楷体" w:eastAsia="楷体" w:cs="楷体"/>
          <w:color w:val="000000"/>
          <w:sz w:val="22"/>
          <w:lang w:eastAsia="zh-CN"/>
        </w:rPr>
      </w:pPr>
      <w:r>
        <w:rPr>
          <w:rFonts w:hint="eastAsia" w:ascii="楷体" w:hAnsi="楷体" w:eastAsia="楷体" w:cs="楷体"/>
          <w:color w:val="000000"/>
          <w:sz w:val="22"/>
        </w:rPr>
        <w:t>甲乙双方本着平等互利，优势互补，共同发展的原则，根据《</w:t>
      </w:r>
      <w:r>
        <w:rPr>
          <w:rFonts w:hint="eastAsia" w:ascii="楷体" w:hAnsi="楷体" w:eastAsia="楷体" w:cs="楷体"/>
          <w:color w:val="000000"/>
          <w:sz w:val="22"/>
          <w:lang w:val="en-US" w:eastAsia="zh-CN"/>
        </w:rPr>
        <w:t>民法典</w:t>
      </w:r>
      <w:r>
        <w:rPr>
          <w:rFonts w:hint="eastAsia" w:ascii="楷体" w:hAnsi="楷体" w:eastAsia="楷体" w:cs="楷体"/>
          <w:color w:val="000000"/>
          <w:sz w:val="22"/>
        </w:rPr>
        <w:t>》等相关法律法规的规定，在真实、充分、自愿的基础上，就甲方委托对系统进行客户端O</w:t>
      </w:r>
      <w:r>
        <w:rPr>
          <w:rFonts w:ascii="楷体" w:hAnsi="楷体" w:eastAsia="楷体" w:cs="楷体"/>
          <w:color w:val="000000"/>
          <w:sz w:val="22"/>
        </w:rPr>
        <w:t>EM</w:t>
      </w:r>
      <w:r>
        <w:rPr>
          <w:rFonts w:hint="eastAsia" w:ascii="楷体" w:hAnsi="楷体" w:eastAsia="楷体" w:cs="楷体"/>
          <w:color w:val="000000"/>
          <w:sz w:val="22"/>
        </w:rPr>
        <w:t>部署与技术运维事项，经协商一致，达成本协议，以资共同信守</w:t>
      </w:r>
      <w:r>
        <w:rPr>
          <w:rFonts w:hint="eastAsia" w:ascii="楷体" w:hAnsi="楷体" w:eastAsia="楷体" w:cs="楷体"/>
          <w:color w:val="000000"/>
          <w:sz w:val="22"/>
          <w:lang w:eastAsia="zh-CN"/>
        </w:rPr>
        <w:t>。</w:t>
      </w:r>
    </w:p>
    <w:p w14:paraId="00F6EE29">
      <w:pPr>
        <w:pStyle w:val="18"/>
        <w:numPr>
          <w:ilvl w:val="0"/>
          <w:numId w:val="1"/>
        </w:numPr>
        <w:adjustRightInd w:val="0"/>
        <w:snapToGrid w:val="0"/>
        <w:spacing w:before="156" w:beforeLines="50" w:line="360" w:lineRule="auto"/>
        <w:ind w:right="28" w:firstLineChars="0"/>
        <w:rPr>
          <w:rFonts w:ascii="楷体" w:hAnsi="楷体" w:eastAsia="楷体" w:cs="楷体"/>
          <w:b/>
          <w:color w:val="000000"/>
          <w:sz w:val="22"/>
        </w:rPr>
      </w:pPr>
      <w:r>
        <w:rPr>
          <w:rFonts w:hint="eastAsia" w:ascii="楷体" w:hAnsi="楷体" w:eastAsia="楷体" w:cs="楷体"/>
          <w:b/>
          <w:color w:val="000000"/>
          <w:sz w:val="22"/>
        </w:rPr>
        <w:t>合作内容</w:t>
      </w:r>
    </w:p>
    <w:p w14:paraId="58958E8D">
      <w:pPr>
        <w:pStyle w:val="18"/>
        <w:adjustRightInd w:val="0"/>
        <w:snapToGrid w:val="0"/>
        <w:spacing w:before="156" w:beforeLines="50" w:line="360" w:lineRule="auto"/>
        <w:ind w:left="440" w:right="28" w:firstLine="0" w:firstLineChars="0"/>
        <w:rPr>
          <w:rFonts w:ascii="楷体" w:hAnsi="楷体" w:eastAsia="楷体" w:cs="楷体"/>
          <w:color w:val="000000"/>
          <w:sz w:val="22"/>
        </w:rPr>
      </w:pPr>
      <w:r>
        <w:rPr>
          <w:rFonts w:hint="eastAsia" w:ascii="楷体" w:hAnsi="楷体" w:eastAsia="楷体" w:cs="楷体"/>
          <w:color w:val="000000"/>
          <w:sz w:val="22"/>
        </w:rPr>
        <w:t>乙方根据甲方需求为甲方灵活用</w:t>
      </w:r>
      <w:r>
        <w:rPr>
          <w:rFonts w:hint="eastAsia" w:ascii="楷体" w:hAnsi="楷体" w:eastAsia="楷体" w:cs="楷体"/>
          <w:color w:val="000000"/>
          <w:sz w:val="22"/>
          <w:lang w:val="en-US" w:eastAsia="zh-CN"/>
        </w:rPr>
        <w:t>工</w:t>
      </w:r>
      <w:r>
        <w:rPr>
          <w:rFonts w:hint="eastAsia" w:ascii="楷体" w:hAnsi="楷体" w:eastAsia="楷体" w:cs="楷体"/>
          <w:color w:val="000000"/>
          <w:sz w:val="22"/>
        </w:rPr>
        <w:t>系统服务平台提供专属二级域名及自有品牌logo，保证甲方服务的客户可正常登录灵活用工系统服务平台使用其系统及运营服务。甲方服务的灵活用工客户若有API技术对接需求，乙方配合提供A</w:t>
      </w:r>
      <w:r>
        <w:rPr>
          <w:rFonts w:ascii="楷体" w:hAnsi="楷体" w:eastAsia="楷体" w:cs="楷体"/>
          <w:color w:val="000000"/>
          <w:sz w:val="22"/>
        </w:rPr>
        <w:t>PI对接中的</w:t>
      </w:r>
      <w:r>
        <w:rPr>
          <w:rFonts w:hint="eastAsia" w:ascii="楷体" w:hAnsi="楷体" w:eastAsia="楷体" w:cs="楷体"/>
          <w:color w:val="000000"/>
          <w:sz w:val="22"/>
        </w:rPr>
        <w:t>技术支持服务。</w:t>
      </w:r>
    </w:p>
    <w:p w14:paraId="170305F3">
      <w:pPr>
        <w:pStyle w:val="18"/>
        <w:numPr>
          <w:ilvl w:val="0"/>
          <w:numId w:val="1"/>
        </w:numPr>
        <w:adjustRightInd w:val="0"/>
        <w:snapToGrid w:val="0"/>
        <w:spacing w:before="156" w:beforeLines="50" w:line="360" w:lineRule="auto"/>
        <w:ind w:right="28" w:firstLineChars="0"/>
        <w:rPr>
          <w:rFonts w:ascii="楷体" w:hAnsi="楷体" w:eastAsia="楷体" w:cs="楷体"/>
          <w:b/>
          <w:color w:val="000000"/>
          <w:sz w:val="22"/>
        </w:rPr>
      </w:pPr>
      <w:r>
        <w:rPr>
          <w:rFonts w:ascii="楷体" w:hAnsi="楷体" w:eastAsia="楷体" w:cs="楷体"/>
          <w:b/>
          <w:color w:val="000000"/>
          <w:sz w:val="22"/>
        </w:rPr>
        <w:t>服务费及支付方式</w:t>
      </w:r>
    </w:p>
    <w:p w14:paraId="6817A058">
      <w:pPr>
        <w:pStyle w:val="18"/>
        <w:adjustRightInd w:val="0"/>
        <w:snapToGrid w:val="0"/>
        <w:spacing w:before="156" w:beforeLines="50" w:line="360" w:lineRule="auto"/>
        <w:ind w:left="440" w:right="28" w:firstLine="0" w:firstLineChars="0"/>
        <w:rPr>
          <w:rFonts w:hint="eastAsia" w:ascii="楷体" w:hAnsi="楷体" w:eastAsia="楷体" w:cs="楷体"/>
          <w:color w:val="000000"/>
          <w:sz w:val="22"/>
          <w:lang w:val="en-US" w:eastAsia="zh-CN"/>
        </w:rPr>
      </w:pPr>
      <w:r>
        <w:rPr>
          <w:rFonts w:hint="eastAsia" w:ascii="楷体" w:hAnsi="楷体" w:eastAsia="楷体" w:cs="楷体"/>
          <w:color w:val="000000"/>
          <w:sz w:val="22"/>
          <w:lang w:val="en-US" w:eastAsia="zh-CN"/>
        </w:rPr>
        <w:t>1、</w:t>
      </w:r>
      <w:r>
        <w:rPr>
          <w:rFonts w:hint="eastAsia" w:ascii="楷体" w:hAnsi="楷体" w:eastAsia="楷体" w:cs="楷体"/>
          <w:color w:val="000000"/>
          <w:sz w:val="22"/>
        </w:rPr>
        <w:t>O</w:t>
      </w:r>
      <w:r>
        <w:rPr>
          <w:rFonts w:ascii="楷体" w:hAnsi="楷体" w:eastAsia="楷体" w:cs="楷体"/>
          <w:color w:val="000000"/>
          <w:sz w:val="22"/>
        </w:rPr>
        <w:t>EM系统服务费</w:t>
      </w:r>
      <w:r>
        <w:rPr>
          <w:rFonts w:hint="eastAsia" w:ascii="楷体" w:hAnsi="楷体" w:eastAsia="楷体" w:cs="楷体"/>
          <w:color w:val="000000"/>
          <w:sz w:val="22"/>
          <w:lang w:val="en-US" w:eastAsia="zh-CN"/>
        </w:rPr>
        <w:t>收取标准</w:t>
      </w:r>
      <w:r>
        <w:rPr>
          <w:rFonts w:hint="eastAsia" w:ascii="楷体" w:hAnsi="楷体" w:eastAsia="楷体" w:cs="楷体"/>
          <w:color w:val="000000"/>
          <w:sz w:val="22"/>
        </w:rPr>
        <w:t>：</w:t>
      </w:r>
      <w:r>
        <w:rPr>
          <w:rFonts w:hint="eastAsia" w:ascii="楷体" w:hAnsi="楷体" w:eastAsia="楷体" w:cs="楷体"/>
          <w:color w:val="000000"/>
          <w:sz w:val="22"/>
          <w:lang w:val="en-US" w:eastAsia="zh-CN"/>
        </w:rPr>
        <w:t>按系统当月总结算金额（交易流水）的</w:t>
      </w:r>
      <w:permStart w:id="3" w:edGrp="everyone"/>
      <w:r>
        <w:rPr>
          <w:rFonts w:hint="eastAsia" w:ascii="楷体" w:hAnsi="楷体" w:eastAsia="楷体" w:cs="楷体"/>
          <w:color w:val="000000"/>
          <w:sz w:val="22"/>
          <w:u w:val="single"/>
          <w:lang w:val="en-US" w:eastAsia="zh-CN"/>
        </w:rPr>
        <w:t xml:space="preserve">  </w:t>
      </w:r>
      <w:permEnd w:id="3"/>
      <w:r>
        <w:rPr>
          <w:rFonts w:hint="eastAsia" w:ascii="楷体" w:hAnsi="楷体" w:eastAsia="楷体" w:cs="楷体"/>
          <w:color w:val="000000"/>
          <w:sz w:val="22"/>
          <w:lang w:val="en-US" w:eastAsia="zh-CN"/>
        </w:rPr>
        <w:t>% 收取系统服务费，并设置每月最低收费</w:t>
      </w:r>
      <w:permStart w:id="4" w:edGrp="everyone"/>
      <w:r>
        <w:rPr>
          <w:rFonts w:hint="eastAsia" w:ascii="楷体" w:hAnsi="楷体" w:eastAsia="楷体" w:cs="楷体"/>
          <w:color w:val="000000"/>
          <w:sz w:val="22"/>
          <w:u w:val="single"/>
          <w:lang w:val="en-US" w:eastAsia="zh-CN"/>
        </w:rPr>
        <w:t xml:space="preserve">   </w:t>
      </w:r>
      <w:permEnd w:id="4"/>
      <w:r>
        <w:rPr>
          <w:rFonts w:hint="eastAsia" w:ascii="楷体" w:hAnsi="楷体" w:eastAsia="楷体" w:cs="楷体"/>
          <w:color w:val="000000"/>
          <w:sz w:val="22"/>
          <w:lang w:val="en-US" w:eastAsia="zh-CN"/>
        </w:rPr>
        <w:t>万元（大写：</w:t>
      </w:r>
      <w:permStart w:id="5" w:edGrp="everyone"/>
      <w:r>
        <w:rPr>
          <w:rFonts w:hint="eastAsia" w:ascii="楷体" w:hAnsi="楷体" w:eastAsia="楷体" w:cs="楷体"/>
          <w:color w:val="000000"/>
          <w:sz w:val="22"/>
          <w:u w:val="single"/>
          <w:lang w:val="en-US" w:eastAsia="zh-CN"/>
        </w:rPr>
        <w:t xml:space="preserve">   </w:t>
      </w:r>
      <w:permEnd w:id="5"/>
      <w:r>
        <w:rPr>
          <w:rFonts w:hint="eastAsia" w:ascii="楷体" w:hAnsi="楷体" w:eastAsia="楷体" w:cs="楷体"/>
          <w:color w:val="000000"/>
          <w:sz w:val="22"/>
          <w:lang w:val="en-US" w:eastAsia="zh-CN"/>
        </w:rPr>
        <w:t>万元整）。具体结算方式如下：</w:t>
      </w:r>
    </w:p>
    <w:p w14:paraId="56D17029">
      <w:pPr>
        <w:pStyle w:val="18"/>
        <w:adjustRightInd w:val="0"/>
        <w:snapToGrid w:val="0"/>
        <w:spacing w:before="156" w:beforeLines="50" w:line="360" w:lineRule="auto"/>
        <w:ind w:left="440" w:right="28" w:firstLine="0" w:firstLineChars="0"/>
        <w:rPr>
          <w:rFonts w:hint="eastAsia" w:ascii="楷体" w:hAnsi="楷体" w:eastAsia="楷体" w:cs="楷体"/>
          <w:color w:val="000000"/>
          <w:sz w:val="22"/>
          <w:lang w:val="en-US" w:eastAsia="zh-CN"/>
        </w:rPr>
      </w:pPr>
      <w:r>
        <w:rPr>
          <w:rFonts w:hint="eastAsia" w:ascii="楷体" w:hAnsi="楷体" w:eastAsia="楷体" w:cs="楷体"/>
          <w:color w:val="000000"/>
          <w:sz w:val="22"/>
          <w:lang w:val="en-US" w:eastAsia="zh-CN"/>
        </w:rPr>
        <w:t>1.1、预缴保底费用：甲方每月10日前需预先支付</w:t>
      </w:r>
      <w:permStart w:id="6" w:edGrp="everyone"/>
      <w:r>
        <w:rPr>
          <w:rFonts w:hint="eastAsia" w:ascii="楷体" w:hAnsi="楷体" w:eastAsia="楷体" w:cs="楷体"/>
          <w:color w:val="000000"/>
          <w:sz w:val="22"/>
          <w:u w:val="single"/>
          <w:lang w:val="en-US" w:eastAsia="zh-CN"/>
        </w:rPr>
        <w:t xml:space="preserve">   </w:t>
      </w:r>
      <w:permEnd w:id="6"/>
      <w:r>
        <w:rPr>
          <w:rFonts w:hint="eastAsia" w:ascii="楷体" w:hAnsi="楷体" w:eastAsia="楷体" w:cs="楷体"/>
          <w:color w:val="000000"/>
          <w:sz w:val="22"/>
          <w:lang w:val="en-US" w:eastAsia="zh-CN"/>
        </w:rPr>
        <w:t>万元系统服务费。</w:t>
      </w:r>
    </w:p>
    <w:p w14:paraId="154FC112">
      <w:pPr>
        <w:pStyle w:val="18"/>
        <w:adjustRightInd w:val="0"/>
        <w:snapToGrid w:val="0"/>
        <w:spacing w:before="156" w:beforeLines="50" w:line="360" w:lineRule="auto"/>
        <w:ind w:left="440" w:right="28" w:firstLine="0" w:firstLineChars="0"/>
        <w:rPr>
          <w:rFonts w:hint="eastAsia" w:ascii="楷体" w:hAnsi="楷体" w:eastAsia="楷体" w:cs="楷体"/>
          <w:color w:val="000000"/>
          <w:sz w:val="22"/>
          <w:lang w:val="en-US" w:eastAsia="zh-CN"/>
        </w:rPr>
      </w:pPr>
      <w:r>
        <w:rPr>
          <w:rFonts w:hint="eastAsia" w:ascii="楷体" w:hAnsi="楷体" w:eastAsia="楷体" w:cs="楷体"/>
          <w:color w:val="000000"/>
          <w:sz w:val="22"/>
          <w:lang w:val="en-US" w:eastAsia="zh-CN"/>
        </w:rPr>
        <w:t>1.2、实际结算规则：</w:t>
      </w:r>
    </w:p>
    <w:p w14:paraId="6D2E5C6C">
      <w:pPr>
        <w:pStyle w:val="18"/>
        <w:adjustRightInd w:val="0"/>
        <w:snapToGrid w:val="0"/>
        <w:spacing w:before="156" w:beforeLines="50" w:line="360" w:lineRule="auto"/>
        <w:ind w:left="440" w:right="28" w:firstLine="0" w:firstLineChars="0"/>
        <w:rPr>
          <w:rFonts w:hint="eastAsia" w:ascii="楷体" w:hAnsi="楷体" w:eastAsia="楷体" w:cs="楷体"/>
          <w:color w:val="000000"/>
          <w:sz w:val="22"/>
          <w:lang w:val="en-US" w:eastAsia="zh-CN"/>
        </w:rPr>
      </w:pPr>
      <w:r>
        <w:rPr>
          <w:rFonts w:hint="eastAsia" w:ascii="楷体" w:hAnsi="楷体" w:eastAsia="楷体" w:cs="楷体"/>
          <w:color w:val="000000"/>
          <w:sz w:val="22"/>
          <w:lang w:val="en-US" w:eastAsia="zh-CN"/>
        </w:rPr>
        <w:t>1.2.1、若当月系统总结算金额未达到</w:t>
      </w:r>
      <w:permStart w:id="7" w:edGrp="everyone"/>
      <w:r>
        <w:rPr>
          <w:rFonts w:hint="eastAsia" w:ascii="楷体" w:hAnsi="楷体" w:eastAsia="楷体" w:cs="楷体"/>
          <w:color w:val="000000"/>
          <w:sz w:val="22"/>
          <w:u w:val="single"/>
          <w:lang w:val="en-US" w:eastAsia="zh-CN"/>
        </w:rPr>
        <w:t xml:space="preserve">   </w:t>
      </w:r>
      <w:permEnd w:id="7"/>
      <w:r>
        <w:rPr>
          <w:rFonts w:hint="eastAsia" w:ascii="楷体" w:hAnsi="楷体" w:eastAsia="楷体" w:cs="楷体"/>
          <w:color w:val="000000"/>
          <w:sz w:val="22"/>
          <w:lang w:val="en-US" w:eastAsia="zh-CN"/>
        </w:rPr>
        <w:t>万元，则乙方按</w:t>
      </w:r>
      <w:permStart w:id="8" w:edGrp="everyone"/>
      <w:r>
        <w:rPr>
          <w:rFonts w:hint="eastAsia" w:ascii="楷体" w:hAnsi="楷体" w:eastAsia="楷体" w:cs="楷体"/>
          <w:color w:val="000000"/>
          <w:sz w:val="22"/>
          <w:u w:val="single"/>
          <w:lang w:val="en-US" w:eastAsia="zh-CN"/>
        </w:rPr>
        <w:t xml:space="preserve">   </w:t>
      </w:r>
      <w:permEnd w:id="8"/>
      <w:r>
        <w:rPr>
          <w:rFonts w:hint="eastAsia" w:ascii="楷体" w:hAnsi="楷体" w:eastAsia="楷体" w:cs="楷体"/>
          <w:color w:val="000000"/>
          <w:sz w:val="22"/>
          <w:lang w:val="en-US" w:eastAsia="zh-CN"/>
        </w:rPr>
        <w:t>万元收取系统服务费，已预缴的</w:t>
      </w:r>
      <w:permStart w:id="9" w:edGrp="everyone"/>
      <w:r>
        <w:rPr>
          <w:rFonts w:hint="eastAsia" w:ascii="楷体" w:hAnsi="楷体" w:eastAsia="楷体" w:cs="楷体"/>
          <w:color w:val="000000"/>
          <w:sz w:val="22"/>
          <w:u w:val="single"/>
          <w:lang w:val="en-US" w:eastAsia="zh-CN"/>
        </w:rPr>
        <w:t xml:space="preserve">   </w:t>
      </w:r>
      <w:permEnd w:id="9"/>
      <w:r>
        <w:rPr>
          <w:rFonts w:hint="eastAsia" w:ascii="楷体" w:hAnsi="楷体" w:eastAsia="楷体" w:cs="楷体"/>
          <w:color w:val="000000"/>
          <w:sz w:val="22"/>
          <w:lang w:val="en-US" w:eastAsia="zh-CN"/>
        </w:rPr>
        <w:t>万元直接抵作当月费用。</w:t>
      </w:r>
    </w:p>
    <w:p w14:paraId="1689ADEA">
      <w:pPr>
        <w:pStyle w:val="18"/>
        <w:adjustRightInd w:val="0"/>
        <w:snapToGrid w:val="0"/>
        <w:spacing w:before="156" w:beforeLines="50" w:line="360" w:lineRule="auto"/>
        <w:ind w:left="440" w:right="28" w:firstLine="0" w:firstLineChars="0"/>
        <w:rPr>
          <w:rFonts w:hint="eastAsia" w:ascii="楷体" w:hAnsi="楷体" w:eastAsia="楷体" w:cs="楷体"/>
          <w:color w:val="000000"/>
          <w:sz w:val="22"/>
          <w:lang w:val="en-US" w:eastAsia="zh-CN"/>
        </w:rPr>
      </w:pPr>
    </w:p>
    <w:p w14:paraId="09B833A2">
      <w:pPr>
        <w:pStyle w:val="18"/>
        <w:adjustRightInd w:val="0"/>
        <w:snapToGrid w:val="0"/>
        <w:spacing w:before="156" w:beforeLines="50" w:line="360" w:lineRule="auto"/>
        <w:ind w:left="440" w:right="28" w:firstLine="0" w:firstLineChars="0"/>
        <w:rPr>
          <w:rFonts w:hint="eastAsia" w:ascii="楷体" w:hAnsi="楷体" w:eastAsia="楷体" w:cs="楷体"/>
          <w:color w:val="000000"/>
          <w:sz w:val="22"/>
        </w:rPr>
      </w:pPr>
      <w:r>
        <w:rPr>
          <w:rFonts w:hint="eastAsia" w:ascii="楷体" w:hAnsi="楷体" w:eastAsia="楷体" w:cs="楷体"/>
          <w:color w:val="000000"/>
          <w:sz w:val="22"/>
          <w:lang w:val="en-US" w:eastAsia="zh-CN"/>
        </w:rPr>
        <w:t>1.2.2、若当月系统总结算金额高于</w:t>
      </w:r>
      <w:permStart w:id="10" w:edGrp="everyone"/>
      <w:r>
        <w:rPr>
          <w:rFonts w:hint="eastAsia" w:ascii="楷体" w:hAnsi="楷体" w:eastAsia="楷体" w:cs="楷体"/>
          <w:color w:val="000000"/>
          <w:sz w:val="22"/>
          <w:u w:val="single"/>
          <w:lang w:val="en-US" w:eastAsia="zh-CN"/>
        </w:rPr>
        <w:t xml:space="preserve">   </w:t>
      </w:r>
      <w:permEnd w:id="10"/>
      <w:r>
        <w:rPr>
          <w:rFonts w:hint="eastAsia" w:ascii="楷体" w:hAnsi="楷体" w:eastAsia="楷体" w:cs="楷体"/>
          <w:color w:val="000000"/>
          <w:sz w:val="22"/>
          <w:lang w:val="en-US" w:eastAsia="zh-CN"/>
        </w:rPr>
        <w:t>万元，则乙方按实际总结算金额的</w:t>
      </w:r>
      <w:permStart w:id="11" w:edGrp="everyone"/>
      <w:r>
        <w:rPr>
          <w:rFonts w:hint="eastAsia" w:ascii="楷体" w:hAnsi="楷体" w:eastAsia="楷体" w:cs="楷体"/>
          <w:color w:val="000000"/>
          <w:sz w:val="22"/>
          <w:u w:val="single"/>
          <w:lang w:val="en-US" w:eastAsia="zh-CN"/>
        </w:rPr>
        <w:t xml:space="preserve">   </w:t>
      </w:r>
      <w:permEnd w:id="11"/>
      <w:r>
        <w:rPr>
          <w:rFonts w:hint="eastAsia" w:ascii="楷体" w:hAnsi="楷体" w:eastAsia="楷体" w:cs="楷体"/>
          <w:color w:val="000000"/>
          <w:sz w:val="22"/>
          <w:lang w:val="en-US" w:eastAsia="zh-CN"/>
        </w:rPr>
        <w:t>% 计算服务费，甲方应在扣除已预缴的</w:t>
      </w:r>
      <w:permStart w:id="12" w:edGrp="everyone"/>
      <w:r>
        <w:rPr>
          <w:rFonts w:hint="eastAsia" w:ascii="楷体" w:hAnsi="楷体" w:eastAsia="楷体" w:cs="楷体"/>
          <w:color w:val="000000"/>
          <w:sz w:val="22"/>
          <w:u w:val="single"/>
          <w:lang w:val="en-US" w:eastAsia="zh-CN"/>
        </w:rPr>
        <w:t xml:space="preserve">   </w:t>
      </w:r>
      <w:permEnd w:id="12"/>
      <w:r>
        <w:rPr>
          <w:rFonts w:hint="eastAsia" w:ascii="楷体" w:hAnsi="楷体" w:eastAsia="楷体" w:cs="楷体"/>
          <w:color w:val="000000"/>
          <w:sz w:val="22"/>
          <w:lang w:val="en-US" w:eastAsia="zh-CN"/>
        </w:rPr>
        <w:t>万元后，向乙方补缴剩余差额部分。</w:t>
      </w:r>
      <w:r>
        <w:rPr>
          <w:rFonts w:hint="eastAsia" w:ascii="楷体" w:hAnsi="楷体" w:eastAsia="楷体" w:cs="楷体"/>
          <w:color w:val="000000"/>
          <w:sz w:val="22"/>
        </w:rPr>
        <w:t>。</w:t>
      </w:r>
    </w:p>
    <w:p w14:paraId="7611A8D5">
      <w:pPr>
        <w:pStyle w:val="18"/>
        <w:adjustRightInd w:val="0"/>
        <w:snapToGrid w:val="0"/>
        <w:spacing w:before="156" w:beforeLines="50" w:line="360" w:lineRule="auto"/>
        <w:ind w:left="440" w:right="28" w:firstLine="0" w:firstLineChars="0"/>
        <w:rPr>
          <w:rFonts w:hint="eastAsia" w:ascii="楷体" w:hAnsi="楷体" w:eastAsia="楷体" w:cs="楷体"/>
          <w:color w:val="000000"/>
          <w:sz w:val="22"/>
          <w:lang w:val="en-US" w:eastAsia="zh-CN"/>
        </w:rPr>
      </w:pPr>
      <w:r>
        <w:rPr>
          <w:rFonts w:hint="eastAsia" w:ascii="楷体" w:hAnsi="楷体" w:eastAsia="楷体" w:cs="楷体"/>
          <w:color w:val="000000"/>
          <w:sz w:val="22"/>
          <w:lang w:val="en-US" w:eastAsia="zh-CN"/>
        </w:rPr>
        <w:t>2、银行开户（注销）收费标准：如甲方需乙方为其园区开设银行一般户用于业务使用，则一次性收取2000元/户作为开户手续费，注销手续费1000元/户。</w:t>
      </w:r>
    </w:p>
    <w:p w14:paraId="140D6582">
      <w:pPr>
        <w:pStyle w:val="18"/>
        <w:adjustRightInd w:val="0"/>
        <w:snapToGrid w:val="0"/>
        <w:spacing w:before="156" w:beforeLines="50" w:line="360" w:lineRule="auto"/>
        <w:ind w:left="440" w:right="28" w:firstLine="0" w:firstLineChars="0"/>
        <w:rPr>
          <w:rFonts w:hint="default" w:ascii="楷体" w:hAnsi="楷体" w:eastAsia="楷体" w:cs="楷体"/>
          <w:color w:val="000000"/>
          <w:sz w:val="22"/>
          <w:lang w:val="en-US" w:eastAsia="zh-CN"/>
        </w:rPr>
      </w:pPr>
      <w:r>
        <w:rPr>
          <w:rFonts w:hint="eastAsia" w:ascii="楷体" w:hAnsi="楷体" w:eastAsia="楷体" w:cs="楷体"/>
          <w:color w:val="000000"/>
          <w:sz w:val="22"/>
          <w:lang w:val="en-US" w:eastAsia="zh-CN"/>
        </w:rPr>
        <w:t>3、系统通道使用费：系统使用中如需使用乙方现有服务通道，如个人信息校验通道、短信通道、天眼查等三方服务通道资源（以下统称“系统通道”），则按甲方实际使用数量及乙方成本进行核算，采用预充值方式，具体通道项目、单价及说明详见本协议附件一《系统通道服务项目及单价表》或由甲方自行采购后交付乙方配置。</w:t>
      </w:r>
    </w:p>
    <w:p w14:paraId="7237A37F">
      <w:pPr>
        <w:pStyle w:val="18"/>
        <w:adjustRightInd w:val="0"/>
        <w:snapToGrid w:val="0"/>
        <w:spacing w:before="156" w:beforeLines="50" w:line="360" w:lineRule="auto"/>
        <w:ind w:left="440" w:right="28" w:firstLine="0" w:firstLineChars="0"/>
        <w:rPr>
          <w:rFonts w:hint="eastAsia" w:ascii="楷体" w:hAnsi="楷体" w:eastAsia="楷体" w:cs="楷体"/>
          <w:color w:val="000000"/>
          <w:sz w:val="22"/>
          <w:lang w:val="en-US" w:eastAsia="zh-CN"/>
        </w:rPr>
      </w:pPr>
      <w:r>
        <w:rPr>
          <w:rFonts w:hint="eastAsia" w:ascii="楷体" w:hAnsi="楷体" w:eastAsia="楷体" w:cs="楷体"/>
          <w:color w:val="000000"/>
          <w:sz w:val="22"/>
          <w:lang w:val="en-US" w:eastAsia="zh-CN"/>
        </w:rPr>
        <w:t>4、OEM系统服务费及系统通道费用收取时间：双方按服务自然月进行结算。每月第5个工作日前，乙方向甲方提供上一自然月的《月度结算对账单》（下称“对账单”），对账单包含系统服务费部分、系统通道使用费。甲方应在收到《月度结算对账单》后5个工作日内进行核对并确认。如有异议，应在此期限内以书面形式提出，双方应友好协商解决。若甲方逾期未确认也未提出书面异议，则视为甲方对该对账单所载明的“总结算金额”及“通道使用量”等基础数据无异议。双方确认当期数据后，甲方需在3个工作日内支付前述费用，乙方在收到甲方费用后三个工作日内提供符合乙方要求的增值税发票，如甲乙双方合作时间不足一个月，但于合作当月15日前开始合作，则按一个月计算（例5月15日前签约并开始合作，按整月计算）。</w:t>
      </w:r>
    </w:p>
    <w:p w14:paraId="11A1ACC7">
      <w:pPr>
        <w:pStyle w:val="18"/>
        <w:adjustRightInd w:val="0"/>
        <w:snapToGrid w:val="0"/>
        <w:spacing w:before="156" w:beforeLines="50" w:line="360" w:lineRule="auto"/>
        <w:ind w:left="440" w:right="28" w:firstLine="0" w:firstLineChars="0"/>
        <w:rPr>
          <w:rFonts w:hint="default" w:ascii="楷体" w:hAnsi="楷体" w:eastAsia="楷体" w:cs="楷体"/>
          <w:color w:val="000000"/>
          <w:sz w:val="22"/>
          <w:lang w:val="en-US" w:eastAsia="zh-CN"/>
        </w:rPr>
      </w:pPr>
      <w:r>
        <w:rPr>
          <w:rFonts w:hint="eastAsia" w:ascii="楷体" w:hAnsi="楷体" w:eastAsia="楷体" w:cs="楷体"/>
          <w:color w:val="000000"/>
          <w:sz w:val="22"/>
          <w:lang w:val="en-US" w:eastAsia="zh-CN"/>
        </w:rPr>
        <w:t>5、</w:t>
      </w:r>
      <w:r>
        <w:rPr>
          <w:rFonts w:hint="default" w:ascii="楷体" w:hAnsi="楷体" w:eastAsia="楷体" w:cs="楷体"/>
          <w:color w:val="000000"/>
          <w:sz w:val="22"/>
          <w:lang w:val="en-US" w:eastAsia="zh-CN"/>
        </w:rPr>
        <w:t>甲方根据本协议约定向乙方支付的所有款项，汇入以下乙方指定账户。</w:t>
      </w:r>
    </w:p>
    <w:p w14:paraId="70EA5D97">
      <w:pPr>
        <w:pStyle w:val="18"/>
        <w:adjustRightInd w:val="0"/>
        <w:snapToGrid w:val="0"/>
        <w:spacing w:before="156" w:beforeLines="50" w:line="360" w:lineRule="auto"/>
        <w:ind w:left="440" w:right="28" w:firstLine="0" w:firstLineChars="0"/>
        <w:rPr>
          <w:rFonts w:hint="default" w:ascii="楷体" w:hAnsi="楷体" w:eastAsia="楷体" w:cs="楷体"/>
          <w:color w:val="000000"/>
          <w:sz w:val="22"/>
          <w:lang w:val="en-US" w:eastAsia="zh-CN"/>
        </w:rPr>
      </w:pPr>
      <w:r>
        <w:rPr>
          <w:rFonts w:hint="default" w:ascii="楷体" w:hAnsi="楷体" w:eastAsia="楷体" w:cs="楷体"/>
          <w:color w:val="000000"/>
          <w:sz w:val="22"/>
          <w:lang w:val="en-US" w:eastAsia="zh-CN"/>
        </w:rPr>
        <w:t>户名： 北京合付宝科技有限公司</w:t>
      </w:r>
    </w:p>
    <w:p w14:paraId="0FD28293">
      <w:pPr>
        <w:pStyle w:val="18"/>
        <w:adjustRightInd w:val="0"/>
        <w:snapToGrid w:val="0"/>
        <w:spacing w:before="156" w:beforeLines="50" w:line="360" w:lineRule="auto"/>
        <w:ind w:left="440" w:right="28" w:firstLine="0" w:firstLineChars="0"/>
        <w:rPr>
          <w:rFonts w:hint="default" w:ascii="楷体" w:hAnsi="楷体" w:eastAsia="楷体" w:cs="楷体"/>
          <w:color w:val="000000"/>
          <w:sz w:val="22"/>
          <w:lang w:val="en-US" w:eastAsia="zh-CN"/>
        </w:rPr>
      </w:pPr>
      <w:r>
        <w:rPr>
          <w:rFonts w:hint="default" w:ascii="楷体" w:hAnsi="楷体" w:eastAsia="楷体" w:cs="楷体"/>
          <w:color w:val="000000"/>
          <w:sz w:val="22"/>
          <w:lang w:val="en-US" w:eastAsia="zh-CN"/>
        </w:rPr>
        <w:t xml:space="preserve">开户行： </w:t>
      </w:r>
      <w:r>
        <w:rPr>
          <w:rFonts w:hint="default" w:ascii="楷体" w:hAnsi="楷体" w:eastAsia="楷体" w:cs="楷体"/>
          <w:color w:val="000000"/>
          <w:sz w:val="22"/>
        </w:rPr>
        <w:t>兴业银行北京魏公村支行</w:t>
      </w:r>
    </w:p>
    <w:p w14:paraId="79756E47">
      <w:pPr>
        <w:pStyle w:val="18"/>
        <w:adjustRightInd w:val="0"/>
        <w:snapToGrid w:val="0"/>
        <w:spacing w:before="156" w:beforeLines="50" w:line="360" w:lineRule="auto"/>
        <w:ind w:left="440" w:right="28" w:firstLine="0" w:firstLineChars="0"/>
        <w:rPr>
          <w:rFonts w:hint="default" w:ascii="楷体" w:hAnsi="楷体" w:eastAsia="楷体" w:cs="楷体"/>
          <w:color w:val="000000"/>
          <w:sz w:val="22"/>
          <w:lang w:val="en-US" w:eastAsia="zh-CN"/>
        </w:rPr>
      </w:pPr>
      <w:r>
        <w:rPr>
          <w:rFonts w:hint="default" w:ascii="楷体" w:hAnsi="楷体" w:eastAsia="楷体" w:cs="楷体"/>
          <w:color w:val="000000"/>
          <w:sz w:val="22"/>
          <w:lang w:val="en-US" w:eastAsia="zh-CN"/>
        </w:rPr>
        <w:t xml:space="preserve">账号： </w:t>
      </w:r>
      <w:r>
        <w:rPr>
          <w:rFonts w:hint="default" w:ascii="楷体" w:hAnsi="楷体" w:eastAsia="楷体" w:cs="楷体"/>
          <w:color w:val="000000"/>
          <w:sz w:val="22"/>
        </w:rPr>
        <w:t>321290100100128996</w:t>
      </w:r>
    </w:p>
    <w:p w14:paraId="3BDBD61A">
      <w:pPr>
        <w:pStyle w:val="18"/>
        <w:adjustRightInd w:val="0"/>
        <w:snapToGrid w:val="0"/>
        <w:spacing w:before="156" w:beforeLines="50" w:line="360" w:lineRule="auto"/>
        <w:ind w:left="440" w:right="28" w:firstLine="0" w:firstLineChars="0"/>
        <w:rPr>
          <w:rFonts w:hint="default" w:ascii="楷体" w:hAnsi="楷体" w:eastAsia="楷体" w:cs="楷体"/>
          <w:color w:val="000000"/>
          <w:sz w:val="22"/>
          <w:lang w:val="en-US" w:eastAsia="zh-CN"/>
        </w:rPr>
      </w:pPr>
      <w:r>
        <w:rPr>
          <w:rFonts w:hint="default" w:ascii="楷体" w:hAnsi="楷体" w:eastAsia="楷体" w:cs="楷体"/>
          <w:color w:val="000000"/>
          <w:sz w:val="22"/>
          <w:lang w:val="en-US" w:eastAsia="zh-CN"/>
        </w:rPr>
        <w:t>乙方根据本协议约定向甲方开具增值税</w:t>
      </w:r>
      <w:r>
        <w:rPr>
          <w:rFonts w:hint="eastAsia" w:ascii="楷体" w:hAnsi="楷体" w:eastAsia="楷体" w:cs="楷体"/>
          <w:color w:val="000000"/>
          <w:sz w:val="22"/>
          <w:lang w:val="en-US" w:eastAsia="zh-CN"/>
        </w:rPr>
        <w:t>专用</w:t>
      </w:r>
      <w:r>
        <w:rPr>
          <w:rFonts w:hint="default" w:ascii="楷体" w:hAnsi="楷体" w:eastAsia="楷体" w:cs="楷体"/>
          <w:color w:val="000000"/>
          <w:sz w:val="22"/>
          <w:lang w:val="en-US" w:eastAsia="zh-CN"/>
        </w:rPr>
        <w:t>发票，甲方确认其开票信息如下。</w:t>
      </w:r>
    </w:p>
    <w:p w14:paraId="111460F5">
      <w:pPr>
        <w:pStyle w:val="18"/>
        <w:adjustRightInd w:val="0"/>
        <w:snapToGrid w:val="0"/>
        <w:spacing w:before="156" w:beforeLines="50" w:line="360" w:lineRule="auto"/>
        <w:ind w:left="440" w:right="28" w:firstLine="0" w:firstLineChars="0"/>
        <w:rPr>
          <w:rFonts w:hint="default" w:ascii="楷体" w:hAnsi="楷体" w:eastAsia="楷体" w:cs="楷体"/>
          <w:color w:val="000000"/>
          <w:sz w:val="22"/>
          <w:lang w:val="en-US" w:eastAsia="zh-CN"/>
        </w:rPr>
      </w:pPr>
      <w:r>
        <w:rPr>
          <w:rFonts w:hint="default" w:ascii="楷体" w:hAnsi="楷体" w:eastAsia="楷体" w:cs="楷体"/>
          <w:color w:val="000000"/>
          <w:sz w:val="22"/>
          <w:lang w:val="en-US" w:eastAsia="zh-CN"/>
        </w:rPr>
        <w:t xml:space="preserve">名称： </w:t>
      </w:r>
      <w:permStart w:id="13" w:edGrp="everyone"/>
      <w:r>
        <w:rPr>
          <w:rFonts w:hint="eastAsia" w:ascii="楷体" w:hAnsi="楷体" w:eastAsia="楷体" w:cs="楷体"/>
          <w:color w:val="000000"/>
          <w:sz w:val="22"/>
          <w:u w:val="single"/>
          <w:lang w:val="en-US" w:eastAsia="zh-CN"/>
        </w:rPr>
        <w:t xml:space="preserve">   </w:t>
      </w:r>
      <w:permEnd w:id="13"/>
    </w:p>
    <w:p w14:paraId="21CC4EB0">
      <w:pPr>
        <w:pStyle w:val="18"/>
        <w:adjustRightInd w:val="0"/>
        <w:snapToGrid w:val="0"/>
        <w:spacing w:before="156" w:beforeLines="50" w:line="360" w:lineRule="auto"/>
        <w:ind w:left="440" w:right="28" w:firstLine="0" w:firstLineChars="0"/>
        <w:rPr>
          <w:rFonts w:hint="default" w:ascii="楷体" w:hAnsi="楷体" w:eastAsia="楷体" w:cs="楷体"/>
          <w:color w:val="000000"/>
          <w:sz w:val="22"/>
          <w:lang w:val="en-US" w:eastAsia="zh-CN"/>
        </w:rPr>
      </w:pPr>
      <w:r>
        <w:rPr>
          <w:rFonts w:hint="default" w:ascii="楷体" w:hAnsi="楷体" w:eastAsia="楷体" w:cs="楷体"/>
          <w:color w:val="000000"/>
          <w:sz w:val="22"/>
          <w:lang w:val="en-US" w:eastAsia="zh-CN"/>
        </w:rPr>
        <w:t xml:space="preserve">纳税人识别号： </w:t>
      </w:r>
      <w:permStart w:id="14" w:edGrp="everyone"/>
      <w:r>
        <w:rPr>
          <w:rFonts w:hint="eastAsia" w:ascii="楷体" w:hAnsi="楷体" w:eastAsia="楷体" w:cs="楷体"/>
          <w:color w:val="000000"/>
          <w:sz w:val="22"/>
          <w:u w:val="single"/>
          <w:lang w:val="en-US" w:eastAsia="zh-CN"/>
        </w:rPr>
        <w:t xml:space="preserve">   </w:t>
      </w:r>
      <w:permEnd w:id="14"/>
    </w:p>
    <w:p w14:paraId="677209B8">
      <w:pPr>
        <w:pStyle w:val="18"/>
        <w:adjustRightInd w:val="0"/>
        <w:snapToGrid w:val="0"/>
        <w:spacing w:before="156" w:beforeLines="50" w:line="360" w:lineRule="auto"/>
        <w:ind w:left="440" w:right="28" w:firstLine="0" w:firstLineChars="0"/>
        <w:rPr>
          <w:rFonts w:hint="default" w:ascii="楷体" w:hAnsi="楷体" w:eastAsia="楷体" w:cs="楷体"/>
          <w:color w:val="000000"/>
          <w:sz w:val="22"/>
          <w:lang w:val="en-US" w:eastAsia="zh-CN"/>
        </w:rPr>
      </w:pPr>
      <w:r>
        <w:rPr>
          <w:rFonts w:hint="default" w:ascii="楷体" w:hAnsi="楷体" w:eastAsia="楷体" w:cs="楷体"/>
          <w:color w:val="000000"/>
          <w:sz w:val="22"/>
          <w:lang w:val="en-US" w:eastAsia="zh-CN"/>
        </w:rPr>
        <w:t xml:space="preserve">地址、电话： </w:t>
      </w:r>
      <w:permStart w:id="15" w:edGrp="everyone"/>
      <w:r>
        <w:rPr>
          <w:rFonts w:hint="eastAsia" w:ascii="楷体" w:hAnsi="楷体" w:eastAsia="楷体" w:cs="楷体"/>
          <w:color w:val="000000"/>
          <w:sz w:val="22"/>
          <w:u w:val="single"/>
          <w:lang w:val="en-US" w:eastAsia="zh-CN"/>
        </w:rPr>
        <w:t xml:space="preserve">   </w:t>
      </w:r>
      <w:permEnd w:id="15"/>
    </w:p>
    <w:p w14:paraId="5B35CFE9">
      <w:pPr>
        <w:pStyle w:val="18"/>
        <w:adjustRightInd w:val="0"/>
        <w:snapToGrid w:val="0"/>
        <w:spacing w:before="156" w:beforeLines="50" w:line="360" w:lineRule="auto"/>
        <w:ind w:left="440" w:right="28" w:firstLine="0" w:firstLineChars="0"/>
        <w:rPr>
          <w:rFonts w:hint="default" w:ascii="楷体" w:hAnsi="楷体" w:eastAsia="楷体" w:cs="楷体"/>
          <w:color w:val="000000"/>
          <w:sz w:val="22"/>
          <w:lang w:val="en-US" w:eastAsia="zh-CN"/>
        </w:rPr>
      </w:pPr>
      <w:r>
        <w:rPr>
          <w:rFonts w:hint="default" w:ascii="楷体" w:hAnsi="楷体" w:eastAsia="楷体" w:cs="楷体"/>
          <w:color w:val="000000"/>
          <w:sz w:val="22"/>
          <w:lang w:val="en-US" w:eastAsia="zh-CN"/>
        </w:rPr>
        <w:t xml:space="preserve">开户行及账号： </w:t>
      </w:r>
      <w:permStart w:id="16" w:edGrp="everyone"/>
      <w:r>
        <w:rPr>
          <w:rFonts w:hint="eastAsia" w:ascii="楷体" w:hAnsi="楷体" w:eastAsia="楷体" w:cs="楷体"/>
          <w:color w:val="000000"/>
          <w:sz w:val="22"/>
          <w:u w:val="single"/>
          <w:lang w:val="en-US" w:eastAsia="zh-CN"/>
        </w:rPr>
        <w:t xml:space="preserve">   </w:t>
      </w:r>
      <w:permEnd w:id="16"/>
    </w:p>
    <w:p w14:paraId="4155ED84">
      <w:pPr>
        <w:pStyle w:val="18"/>
        <w:numPr>
          <w:ilvl w:val="0"/>
          <w:numId w:val="1"/>
        </w:numPr>
        <w:adjustRightInd w:val="0"/>
        <w:snapToGrid w:val="0"/>
        <w:spacing w:before="156" w:beforeLines="50" w:line="360" w:lineRule="auto"/>
        <w:ind w:right="28" w:firstLineChars="0"/>
        <w:rPr>
          <w:rFonts w:ascii="楷体" w:hAnsi="楷体" w:eastAsia="楷体" w:cs="楷体"/>
          <w:b/>
          <w:color w:val="000000"/>
          <w:sz w:val="22"/>
        </w:rPr>
      </w:pPr>
      <w:r>
        <w:rPr>
          <w:rFonts w:ascii="楷体" w:hAnsi="楷体" w:eastAsia="楷体" w:cs="楷体"/>
          <w:b/>
          <w:color w:val="000000"/>
          <w:sz w:val="22"/>
        </w:rPr>
        <w:t>服务期限及运营维护周期</w:t>
      </w:r>
    </w:p>
    <w:p w14:paraId="6E26CB7A">
      <w:pPr>
        <w:pStyle w:val="18"/>
        <w:adjustRightInd w:val="0"/>
        <w:snapToGrid w:val="0"/>
        <w:spacing w:before="156" w:beforeLines="50" w:line="360" w:lineRule="auto"/>
        <w:ind w:left="440" w:right="28" w:firstLine="0" w:firstLineChars="0"/>
        <w:rPr>
          <w:rFonts w:ascii="楷体" w:hAnsi="楷体" w:eastAsia="楷体" w:cs="楷体"/>
          <w:color w:val="000000"/>
          <w:sz w:val="22"/>
        </w:rPr>
      </w:pPr>
      <w:r>
        <w:rPr>
          <w:rFonts w:hint="eastAsia" w:ascii="楷体" w:hAnsi="楷体" w:eastAsia="楷体" w:cs="楷体"/>
          <w:color w:val="000000"/>
          <w:sz w:val="22"/>
        </w:rPr>
        <w:t>本协议合作期限为：一 年。自双方签章之日起算。协议期满15日前，甲方或乙方未书面通知对方续展本协议，则合作协议自动终止，如双方均同意续展，则本协议延续一个合作期限。但依据本协议的约定，在双方约定解除或单方依协议规定的条件解除协议的情况下，自解除之日起，合作期限也于同日终止，但乙方对提供的产品应持续免费服务6个月。在合作期内甲方按本协议约定向乙方支付服务费用。运行维护周期为：一年。自乙方为甲方提供服务日起算，每个自然年为一个运行维护周期，简称运维周期。</w:t>
      </w:r>
    </w:p>
    <w:p w14:paraId="4B4DE7FA">
      <w:pPr>
        <w:pStyle w:val="18"/>
        <w:numPr>
          <w:ilvl w:val="0"/>
          <w:numId w:val="1"/>
        </w:numPr>
        <w:adjustRightInd w:val="0"/>
        <w:snapToGrid w:val="0"/>
        <w:spacing w:before="156" w:beforeLines="50" w:line="360" w:lineRule="auto"/>
        <w:ind w:right="28" w:firstLineChars="0"/>
        <w:rPr>
          <w:rFonts w:ascii="楷体" w:hAnsi="楷体" w:eastAsia="楷体" w:cs="楷体"/>
          <w:b/>
          <w:color w:val="000000"/>
          <w:sz w:val="22"/>
        </w:rPr>
      </w:pPr>
      <w:r>
        <w:rPr>
          <w:rFonts w:ascii="楷体" w:hAnsi="楷体" w:eastAsia="楷体" w:cs="楷体"/>
          <w:b/>
          <w:color w:val="000000"/>
          <w:sz w:val="22"/>
        </w:rPr>
        <w:t>双方共同承担的保密义务</w:t>
      </w:r>
    </w:p>
    <w:p w14:paraId="3E002E11">
      <w:pPr>
        <w:pStyle w:val="18"/>
        <w:adjustRightInd w:val="0"/>
        <w:snapToGrid w:val="0"/>
        <w:spacing w:before="156" w:beforeLines="50" w:line="360" w:lineRule="auto"/>
        <w:ind w:left="440" w:right="28" w:firstLine="0" w:firstLineChars="0"/>
        <w:rPr>
          <w:rFonts w:hint="eastAsia" w:ascii="楷体" w:hAnsi="楷体" w:eastAsia="楷体" w:cs="楷体"/>
          <w:color w:val="000000"/>
          <w:sz w:val="22"/>
          <w:lang w:eastAsia="zh-CN"/>
        </w:rPr>
      </w:pPr>
      <w:r>
        <w:rPr>
          <w:rFonts w:hint="eastAsia" w:ascii="楷体" w:hAnsi="楷体" w:eastAsia="楷体" w:cs="楷体"/>
          <w:color w:val="000000"/>
          <w:sz w:val="22"/>
        </w:rPr>
        <w:t>甲乙双方对本协议的内容，以及在本协议履行过程中获得的对方的信息，均负有保密的义务。除甲乙双方另有约定外，保密信息包括但不限于本协议报价、协议文本以及双方标有保密字样的往来文件。未经双方书面同意，不得将本协议或对方的信息向其他第三方进行披露。甲、乙双方对取得的用户的资料负有保密责任，需按要求采取严格措施保障相关用户资料的机密和完整。本协议项下双方的保密义务，不因本协议的终止、失效等而终止或失效，保密期限直至相关保密信息成为市场公开信息为止（因保密信息接受方故意泄露的除外）</w:t>
      </w:r>
      <w:r>
        <w:rPr>
          <w:rFonts w:hint="eastAsia" w:ascii="楷体" w:hAnsi="楷体" w:eastAsia="楷体" w:cs="楷体"/>
          <w:color w:val="000000"/>
          <w:sz w:val="22"/>
          <w:lang w:eastAsia="zh-CN"/>
        </w:rPr>
        <w:t>。</w:t>
      </w:r>
    </w:p>
    <w:p w14:paraId="0A13FD09">
      <w:pPr>
        <w:pStyle w:val="18"/>
        <w:numPr>
          <w:ilvl w:val="0"/>
          <w:numId w:val="1"/>
        </w:numPr>
        <w:adjustRightInd w:val="0"/>
        <w:snapToGrid w:val="0"/>
        <w:spacing w:before="156" w:beforeLines="50" w:line="360" w:lineRule="auto"/>
        <w:ind w:right="28" w:firstLineChars="0"/>
        <w:rPr>
          <w:rFonts w:ascii="楷体" w:hAnsi="楷体" w:eastAsia="楷体" w:cs="楷体"/>
          <w:b/>
          <w:color w:val="000000"/>
          <w:sz w:val="22"/>
        </w:rPr>
      </w:pPr>
      <w:r>
        <w:rPr>
          <w:rFonts w:ascii="楷体" w:hAnsi="楷体" w:eastAsia="楷体" w:cs="楷体"/>
          <w:b/>
          <w:color w:val="000000"/>
          <w:sz w:val="22"/>
        </w:rPr>
        <w:t>知识产权</w:t>
      </w:r>
    </w:p>
    <w:p w14:paraId="46B5532F">
      <w:pPr>
        <w:pStyle w:val="18"/>
        <w:adjustRightInd w:val="0"/>
        <w:snapToGrid w:val="0"/>
        <w:spacing w:before="156" w:beforeLines="50" w:line="360" w:lineRule="auto"/>
        <w:ind w:left="440" w:right="28" w:firstLine="0" w:firstLineChars="0"/>
        <w:rPr>
          <w:rFonts w:hint="eastAsia" w:ascii="楷体" w:hAnsi="楷体" w:eastAsia="楷体" w:cs="楷体"/>
          <w:color w:val="000000"/>
          <w:sz w:val="22"/>
        </w:rPr>
      </w:pPr>
      <w:r>
        <w:rPr>
          <w:rFonts w:hint="eastAsia" w:ascii="楷体" w:hAnsi="楷体" w:eastAsia="楷体" w:cs="楷体"/>
          <w:color w:val="000000"/>
          <w:sz w:val="22"/>
        </w:rPr>
        <w:t>乙方为甲方提供有偿服务，乙方拥有“合付宝”《灵活用工》系统的所有权及对应的知识产权，除本协议另有约定外，未经乙方书面同意 ，甲方不得擅自使用或出租、出售、出借给第三方使用，亦不得对“合付宝”进行反向编程或从事其他危害“合付宝”及乙方、商户利益的行为。</w:t>
      </w:r>
    </w:p>
    <w:p w14:paraId="574F1F0B">
      <w:pPr>
        <w:pStyle w:val="18"/>
        <w:adjustRightInd w:val="0"/>
        <w:snapToGrid w:val="0"/>
        <w:spacing w:before="156" w:beforeLines="50" w:line="360" w:lineRule="auto"/>
        <w:ind w:left="440" w:right="28" w:firstLine="0" w:firstLineChars="0"/>
        <w:rPr>
          <w:rFonts w:hint="default" w:ascii="楷体" w:hAnsi="楷体" w:eastAsia="楷体" w:cs="楷体"/>
          <w:color w:val="000000"/>
          <w:sz w:val="22"/>
          <w:highlight w:val="none"/>
          <w:lang w:val="en-US" w:eastAsia="zh-CN"/>
        </w:rPr>
      </w:pPr>
      <w:r>
        <w:rPr>
          <w:rFonts w:hint="eastAsia" w:ascii="楷体" w:hAnsi="楷体" w:eastAsia="楷体" w:cs="楷体"/>
          <w:color w:val="000000"/>
          <w:sz w:val="22"/>
          <w:highlight w:val="none"/>
          <w:lang w:val="en-US" w:eastAsia="zh-CN"/>
        </w:rPr>
        <w:t>甲方自行确认品牌logo及品牌名称的有效性和唯一性，如因甲方提供的品牌logo或品牌名称涉及侵权或任何第三方主张权益的均由甲方自行负责。</w:t>
      </w:r>
    </w:p>
    <w:p w14:paraId="303E11B0">
      <w:pPr>
        <w:pStyle w:val="18"/>
        <w:numPr>
          <w:ilvl w:val="0"/>
          <w:numId w:val="1"/>
        </w:numPr>
        <w:adjustRightInd w:val="0"/>
        <w:snapToGrid w:val="0"/>
        <w:spacing w:before="156" w:beforeLines="50" w:line="360" w:lineRule="auto"/>
        <w:ind w:right="28" w:firstLineChars="0"/>
        <w:rPr>
          <w:rFonts w:ascii="楷体" w:hAnsi="楷体" w:eastAsia="楷体" w:cs="楷体"/>
          <w:b/>
          <w:color w:val="000000"/>
          <w:sz w:val="22"/>
        </w:rPr>
      </w:pPr>
      <w:r>
        <w:rPr>
          <w:rFonts w:hint="eastAsia" w:ascii="楷体" w:hAnsi="楷体" w:eastAsia="楷体" w:cs="楷体"/>
          <w:b/>
          <w:color w:val="000000"/>
          <w:sz w:val="22"/>
        </w:rPr>
        <w:t>违约责任</w:t>
      </w:r>
    </w:p>
    <w:p w14:paraId="500C948C">
      <w:pPr>
        <w:pStyle w:val="18"/>
        <w:adjustRightInd w:val="0"/>
        <w:snapToGrid w:val="0"/>
        <w:spacing w:before="156" w:beforeLines="50" w:line="360" w:lineRule="auto"/>
        <w:ind w:left="440" w:right="28" w:firstLine="0" w:firstLineChars="0"/>
        <w:rPr>
          <w:rFonts w:ascii="楷体" w:hAnsi="楷体" w:eastAsia="楷体" w:cs="楷体"/>
          <w:color w:val="000000"/>
          <w:sz w:val="22"/>
        </w:rPr>
      </w:pPr>
      <w:r>
        <w:rPr>
          <w:rFonts w:hint="eastAsia" w:ascii="楷体" w:hAnsi="楷体" w:eastAsia="楷体" w:cs="楷体"/>
          <w:color w:val="000000"/>
          <w:sz w:val="22"/>
        </w:rPr>
        <w:t>甲方未按本协议约定的时间按时足额向乙方支付服务费，甲方应于逾期之日起，按应付服务费每日万分之三的标准向乙方支付延期支付违约金，如果延期30日未付，乙方有权终止提供技术支持和服务。如甲方违规、违法使用甲方系统导致的一切责任均由甲方自行承担。如因乙方自身原因导致提供的产品或服务不符合甲方使用，或服务不及时等导致的甲方直接损失，由乙方根据自身过错承担相应责任。</w:t>
      </w:r>
    </w:p>
    <w:p w14:paraId="03953631">
      <w:pPr>
        <w:pStyle w:val="18"/>
        <w:numPr>
          <w:ilvl w:val="0"/>
          <w:numId w:val="1"/>
        </w:numPr>
        <w:adjustRightInd w:val="0"/>
        <w:snapToGrid w:val="0"/>
        <w:spacing w:before="156" w:beforeLines="50" w:line="360" w:lineRule="auto"/>
        <w:ind w:right="28" w:firstLineChars="0"/>
        <w:rPr>
          <w:rFonts w:ascii="楷体" w:hAnsi="楷体" w:eastAsia="楷体" w:cs="楷体"/>
          <w:b/>
          <w:color w:val="000000"/>
          <w:sz w:val="22"/>
        </w:rPr>
      </w:pPr>
      <w:r>
        <w:rPr>
          <w:rFonts w:ascii="楷体" w:hAnsi="楷体" w:eastAsia="楷体" w:cs="楷体"/>
          <w:b/>
          <w:color w:val="000000"/>
          <w:sz w:val="22"/>
        </w:rPr>
        <w:t>不可抗力</w:t>
      </w:r>
    </w:p>
    <w:p w14:paraId="5F327149">
      <w:pPr>
        <w:pStyle w:val="18"/>
        <w:adjustRightInd w:val="0"/>
        <w:snapToGrid w:val="0"/>
        <w:spacing w:before="156" w:beforeLines="50" w:line="360" w:lineRule="auto"/>
        <w:ind w:left="440" w:right="28" w:firstLine="0" w:firstLineChars="0"/>
        <w:rPr>
          <w:rFonts w:ascii="楷体" w:hAnsi="楷体" w:eastAsia="楷体" w:cs="楷体"/>
          <w:color w:val="000000"/>
          <w:sz w:val="22"/>
        </w:rPr>
      </w:pPr>
      <w:r>
        <w:rPr>
          <w:rFonts w:hint="eastAsia" w:ascii="楷体" w:hAnsi="楷体" w:eastAsia="楷体" w:cs="楷体"/>
          <w:color w:val="000000"/>
          <w:sz w:val="22"/>
        </w:rPr>
        <w:t>“不可抗力”是指不能合理控制、不可预见或</w:t>
      </w:r>
      <w:r>
        <w:rPr>
          <w:rFonts w:hint="eastAsia" w:ascii="楷体" w:hAnsi="楷体" w:eastAsia="楷体" w:cs="楷体"/>
          <w:color w:val="000000"/>
          <w:sz w:val="22"/>
          <w:lang w:val="en-US" w:eastAsia="zh-CN"/>
        </w:rPr>
        <w:t>即使</w:t>
      </w:r>
      <w:r>
        <w:rPr>
          <w:rFonts w:hint="eastAsia" w:ascii="楷体" w:hAnsi="楷体" w:eastAsia="楷体" w:cs="楷体"/>
          <w:color w:val="000000"/>
          <w:sz w:val="22"/>
        </w:rPr>
        <w:t>预见亦无法避免的事件，该事件妨碍、影响或延误任何一方履行</w:t>
      </w:r>
      <w:r>
        <w:rPr>
          <w:rFonts w:hint="eastAsia" w:ascii="楷体" w:hAnsi="楷体" w:eastAsia="楷体" w:cs="楷体"/>
          <w:color w:val="000000"/>
          <w:sz w:val="22"/>
          <w:lang w:val="en-US" w:eastAsia="zh-CN"/>
        </w:rPr>
        <w:t>本协议</w:t>
      </w:r>
      <w:r>
        <w:rPr>
          <w:rFonts w:hint="eastAsia" w:ascii="楷体" w:hAnsi="楷体" w:eastAsia="楷体" w:cs="楷体"/>
          <w:color w:val="000000"/>
          <w:sz w:val="22"/>
        </w:rPr>
        <w:t>其全部或部分义务。该事件包括但不限于法律法规变化或有新的法律法规，国家相关政策调整或有新的政策规定，政府行为，自然灾害，战争或任何其他类似事件。出现不可抗力事件时，知情方应及时、充分地向对方以书面形式发出通知，并告知对方该类事件对本协议可能产生的影响，并应当在合理期限内提供相关证明。由于以上所述不可抗力事件致使协议的部分或全部不能履行或延迟履行，则双方于彼此间不承担任何违约责任。</w:t>
      </w:r>
    </w:p>
    <w:p w14:paraId="733807B2">
      <w:pPr>
        <w:pStyle w:val="18"/>
        <w:numPr>
          <w:ilvl w:val="0"/>
          <w:numId w:val="1"/>
        </w:numPr>
        <w:adjustRightInd w:val="0"/>
        <w:snapToGrid w:val="0"/>
        <w:spacing w:before="156" w:beforeLines="50" w:line="360" w:lineRule="auto"/>
        <w:ind w:right="28" w:firstLineChars="0"/>
        <w:rPr>
          <w:rFonts w:ascii="楷体" w:hAnsi="楷体" w:eastAsia="楷体" w:cs="楷体"/>
          <w:b/>
          <w:color w:val="000000"/>
          <w:sz w:val="22"/>
        </w:rPr>
      </w:pPr>
      <w:r>
        <w:rPr>
          <w:rFonts w:hint="eastAsia" w:ascii="楷体" w:hAnsi="楷体" w:eastAsia="楷体" w:cs="楷体"/>
          <w:b/>
          <w:color w:val="000000"/>
          <w:sz w:val="22"/>
        </w:rPr>
        <w:t>法律适用和争议解决</w:t>
      </w:r>
    </w:p>
    <w:p w14:paraId="59018BD2">
      <w:pPr>
        <w:pStyle w:val="18"/>
        <w:adjustRightInd w:val="0"/>
        <w:snapToGrid w:val="0"/>
        <w:spacing w:before="156" w:beforeLines="50" w:line="360" w:lineRule="auto"/>
        <w:ind w:left="440" w:right="28" w:firstLine="0" w:firstLineChars="0"/>
        <w:rPr>
          <w:rFonts w:ascii="楷体" w:hAnsi="楷体" w:eastAsia="楷体" w:cs="楷体"/>
          <w:color w:val="000000"/>
          <w:sz w:val="22"/>
        </w:rPr>
      </w:pPr>
      <w:r>
        <w:rPr>
          <w:rFonts w:hint="eastAsia" w:ascii="楷体" w:hAnsi="楷体" w:eastAsia="楷体" w:cs="楷体"/>
          <w:color w:val="000000"/>
          <w:sz w:val="22"/>
        </w:rPr>
        <w:t>本协议签订以及与本协议有关的一切事宜，一律适用中华人民共和国的法律、法规（香港特别行政区、澳门特别行政区及台湾地区的法律法规除外）。本协议条款与中华人民共和国法律、法规冲突的，以中华人民共和国法律、法规为准。因双方履行本协议而引起的或与本协议有关的争议，应首先由双方友好协商解决，协商不成的，任何一方有权将争议提交至乙方住所地有管辖权的人民法院进行诉讼解决。</w:t>
      </w:r>
    </w:p>
    <w:p w14:paraId="519BBE85">
      <w:pPr>
        <w:adjustRightInd w:val="0"/>
        <w:snapToGrid w:val="0"/>
        <w:spacing w:before="156" w:beforeLines="50" w:line="360" w:lineRule="auto"/>
        <w:ind w:left="420" w:leftChars="200" w:right="28"/>
        <w:rPr>
          <w:rFonts w:ascii="楷体" w:hAnsi="楷体" w:eastAsia="楷体" w:cs="楷体"/>
          <w:color w:val="000000"/>
          <w:sz w:val="22"/>
        </w:rPr>
      </w:pPr>
      <w:r>
        <w:rPr>
          <w:rFonts w:hint="eastAsia" w:ascii="楷体" w:hAnsi="楷体" w:eastAsia="楷体" w:cs="楷体"/>
          <w:color w:val="000000"/>
          <w:sz w:val="22"/>
        </w:rPr>
        <w:t>本协议的签订不表示甲、乙双方有关联企业的关系，也不表示甲、乙双方有雇佣关系；甲、乙双方均不得利用对方名称或公司数据（包括但不限于地址及电话等），进行不实</w:t>
      </w:r>
      <w:r>
        <w:rPr>
          <w:rFonts w:hint="eastAsia" w:ascii="楷体" w:hAnsi="楷体" w:eastAsia="楷体" w:cs="楷体"/>
          <w:color w:val="000000"/>
          <w:sz w:val="22"/>
          <w:lang w:eastAsia="zh-CN"/>
        </w:rPr>
        <w:t>、</w:t>
      </w:r>
      <w:r>
        <w:rPr>
          <w:rFonts w:hint="eastAsia" w:ascii="楷体" w:hAnsi="楷体" w:eastAsia="楷体" w:cs="楷体"/>
          <w:color w:val="000000"/>
          <w:sz w:val="22"/>
        </w:rPr>
        <w:t>夸大</w:t>
      </w:r>
      <w:r>
        <w:rPr>
          <w:rFonts w:hint="eastAsia" w:ascii="楷体" w:hAnsi="楷体" w:eastAsia="楷体" w:cs="楷体"/>
          <w:color w:val="000000"/>
          <w:sz w:val="22"/>
          <w:lang w:val="en-US" w:eastAsia="zh-CN"/>
        </w:rPr>
        <w:t>的</w:t>
      </w:r>
      <w:r>
        <w:rPr>
          <w:rFonts w:hint="eastAsia" w:ascii="楷体" w:hAnsi="楷体" w:eastAsia="楷体" w:cs="楷体"/>
          <w:color w:val="000000"/>
          <w:sz w:val="22"/>
        </w:rPr>
        <w:t>宣传及其它损害彼此利益的行为。</w:t>
      </w:r>
    </w:p>
    <w:p w14:paraId="0CDFA2BB">
      <w:pPr>
        <w:adjustRightInd w:val="0"/>
        <w:snapToGrid w:val="0"/>
        <w:spacing w:before="156" w:beforeLines="50" w:line="360" w:lineRule="auto"/>
        <w:ind w:left="420" w:leftChars="200" w:right="28"/>
        <w:rPr>
          <w:rFonts w:ascii="楷体" w:hAnsi="楷体" w:eastAsia="楷体" w:cs="楷体"/>
          <w:color w:val="000000"/>
          <w:sz w:val="22"/>
        </w:rPr>
      </w:pPr>
      <w:r>
        <w:rPr>
          <w:rFonts w:hint="eastAsia" w:ascii="楷体" w:hAnsi="楷体" w:eastAsia="楷体" w:cs="楷体"/>
          <w:color w:val="000000"/>
          <w:sz w:val="22"/>
        </w:rPr>
        <w:t>本协议签署生效后将替代双方之前就本协议主题事宜达成的一切书面、口头协议及文书，相关协议及文书在本协议生效后将自动失效，届时本协议将成为双方技术外包服务唯一合法有效的法律文书。</w:t>
      </w:r>
    </w:p>
    <w:p w14:paraId="2C87A378">
      <w:pPr>
        <w:adjustRightInd w:val="0"/>
        <w:snapToGrid w:val="0"/>
        <w:spacing w:before="156" w:beforeLines="50" w:line="360" w:lineRule="auto"/>
        <w:ind w:left="420" w:leftChars="200" w:right="28"/>
        <w:rPr>
          <w:rFonts w:ascii="楷体" w:hAnsi="楷体" w:eastAsia="楷体" w:cs="楷体"/>
          <w:color w:val="000000"/>
          <w:sz w:val="22"/>
        </w:rPr>
      </w:pPr>
      <w:r>
        <w:rPr>
          <w:rFonts w:hint="eastAsia" w:ascii="楷体" w:hAnsi="楷体" w:eastAsia="楷体" w:cs="楷体"/>
          <w:color w:val="000000"/>
          <w:sz w:val="22"/>
        </w:rPr>
        <w:t>本协议未尽事宜，经双方协商达成一致书面意见，作为本协议的补充，与本协议具有同等法律效力。</w:t>
      </w:r>
    </w:p>
    <w:p w14:paraId="001223FA">
      <w:pPr>
        <w:adjustRightInd w:val="0"/>
        <w:snapToGrid w:val="0"/>
        <w:spacing w:before="156" w:beforeLines="50" w:line="360" w:lineRule="auto"/>
        <w:ind w:left="420" w:leftChars="200" w:right="28"/>
        <w:rPr>
          <w:rFonts w:ascii="楷体" w:hAnsi="楷体" w:eastAsia="楷体" w:cs="楷体"/>
          <w:color w:val="000000"/>
          <w:sz w:val="22"/>
        </w:rPr>
      </w:pPr>
      <w:r>
        <w:rPr>
          <w:rFonts w:hint="eastAsia" w:ascii="楷体" w:hAnsi="楷体" w:eastAsia="楷体" w:cs="楷体"/>
          <w:color w:val="000000"/>
          <w:sz w:val="22"/>
        </w:rPr>
        <w:t>本协议相关条款约定如与现行或将来颁布的法律法规、监管规定相冲突，则以法律、法规规定及监管要求为准，双方同意协商一致变更冲突条款。</w:t>
      </w:r>
    </w:p>
    <w:p w14:paraId="01AC14F6">
      <w:pPr>
        <w:adjustRightInd w:val="0"/>
        <w:snapToGrid w:val="0"/>
        <w:spacing w:before="156" w:beforeLines="50" w:line="360" w:lineRule="auto"/>
        <w:ind w:right="28" w:firstLine="440" w:firstLineChars="200"/>
        <w:rPr>
          <w:rFonts w:ascii="楷体" w:hAnsi="楷体" w:eastAsia="楷体" w:cs="楷体"/>
          <w:color w:val="000000"/>
          <w:sz w:val="22"/>
        </w:rPr>
      </w:pPr>
      <w:r>
        <w:rPr>
          <w:rFonts w:hint="eastAsia" w:ascii="楷体" w:hAnsi="楷体" w:eastAsia="楷体" w:cs="楷体"/>
          <w:color w:val="000000"/>
          <w:sz w:val="22"/>
        </w:rPr>
        <w:t>本协议经双方授权代表签字并加盖公章或合同章后生效。</w:t>
      </w:r>
    </w:p>
    <w:p w14:paraId="4671204C">
      <w:pPr>
        <w:adjustRightInd w:val="0"/>
        <w:snapToGrid w:val="0"/>
        <w:spacing w:before="156" w:beforeLines="50" w:line="360" w:lineRule="auto"/>
        <w:ind w:right="28" w:firstLine="440" w:firstLineChars="200"/>
        <w:rPr>
          <w:rFonts w:ascii="楷体" w:hAnsi="楷体" w:eastAsia="楷体" w:cs="楷体"/>
          <w:color w:val="000000"/>
          <w:sz w:val="22"/>
        </w:rPr>
      </w:pPr>
      <w:r>
        <w:rPr>
          <w:rFonts w:hint="eastAsia" w:ascii="楷体" w:hAnsi="楷体" w:eastAsia="楷体" w:cs="楷体"/>
          <w:color w:val="000000"/>
          <w:sz w:val="22"/>
        </w:rPr>
        <w:t>本协议正本壹式两份，双方各执壹份，每份具有同等的法律效力。</w:t>
      </w:r>
    </w:p>
    <w:p w14:paraId="500BB2A3">
      <w:pPr>
        <w:adjustRightInd w:val="0"/>
        <w:snapToGrid w:val="0"/>
        <w:spacing w:before="156" w:beforeLines="50" w:line="360" w:lineRule="auto"/>
        <w:ind w:right="28" w:firstLine="440" w:firstLineChars="200"/>
        <w:rPr>
          <w:rFonts w:ascii="楷体" w:hAnsi="楷体" w:eastAsia="楷体" w:cs="楷体"/>
          <w:color w:val="000000"/>
          <w:sz w:val="22"/>
        </w:rPr>
      </w:pPr>
      <w:r>
        <w:rPr>
          <w:rFonts w:hint="eastAsia" w:ascii="楷体" w:hAnsi="楷体" w:eastAsia="楷体" w:cs="楷体"/>
          <w:color w:val="000000"/>
          <w:sz w:val="22"/>
        </w:rPr>
        <w:t>（以下无正文）</w:t>
      </w:r>
    </w:p>
    <w:p w14:paraId="0FC9F356">
      <w:pPr>
        <w:adjustRightInd w:val="0"/>
        <w:snapToGrid w:val="0"/>
        <w:spacing w:before="156" w:beforeLines="50" w:line="360" w:lineRule="auto"/>
        <w:ind w:right="28"/>
        <w:rPr>
          <w:rFonts w:ascii="楷体" w:hAnsi="楷体" w:eastAsia="楷体" w:cs="楷体"/>
          <w:color w:val="000000"/>
          <w:sz w:val="22"/>
        </w:rPr>
      </w:pPr>
    </w:p>
    <w:p w14:paraId="00386D09">
      <w:pPr>
        <w:adjustRightInd w:val="0"/>
        <w:snapToGrid w:val="0"/>
        <w:spacing w:before="156" w:beforeLines="50" w:line="360" w:lineRule="auto"/>
        <w:ind w:right="28" w:firstLine="440" w:firstLineChars="200"/>
        <w:rPr>
          <w:rFonts w:hint="eastAsia" w:ascii="楷体" w:hAnsi="楷体" w:eastAsia="楷体" w:cs="楷体"/>
          <w:color w:val="000000"/>
          <w:sz w:val="22"/>
        </w:rPr>
        <w:sectPr>
          <w:headerReference r:id="rId3" w:type="default"/>
          <w:footerReference r:id="rId4" w:type="default"/>
          <w:pgSz w:w="11906" w:h="16838"/>
          <w:pgMar w:top="1440" w:right="1080" w:bottom="1440" w:left="1080" w:header="851" w:footer="992" w:gutter="0"/>
          <w:cols w:space="425" w:num="1"/>
          <w:docGrid w:type="lines" w:linePitch="312" w:charSpace="0"/>
        </w:sectPr>
      </w:pPr>
    </w:p>
    <w:p w14:paraId="046FFBF4">
      <w:pPr>
        <w:adjustRightInd w:val="0"/>
        <w:snapToGrid w:val="0"/>
        <w:spacing w:before="156" w:beforeLines="50" w:line="360" w:lineRule="auto"/>
        <w:ind w:right="28" w:firstLine="440" w:firstLineChars="200"/>
        <w:rPr>
          <w:rFonts w:ascii="楷体" w:hAnsi="楷体" w:eastAsia="楷体" w:cs="楷体"/>
          <w:color w:val="000000"/>
          <w:sz w:val="22"/>
        </w:rPr>
      </w:pPr>
      <w:r>
        <w:rPr>
          <w:rFonts w:hint="eastAsia" w:ascii="楷体" w:hAnsi="楷体" w:eastAsia="楷体" w:cs="楷体"/>
          <w:color w:val="000000"/>
          <w:sz w:val="22"/>
        </w:rPr>
        <w:t>甲方（单位盖章）：</w:t>
      </w:r>
      <w:permStart w:id="17" w:edGrp="everyone"/>
      <w:r>
        <w:rPr>
          <w:rFonts w:hint="eastAsia" w:ascii="楷体" w:hAnsi="楷体" w:eastAsia="楷体" w:cs="楷体"/>
          <w:color w:val="000000"/>
          <w:sz w:val="22"/>
        </w:rPr>
        <w:t xml:space="preserve">                              </w:t>
      </w:r>
    </w:p>
    <w:permEnd w:id="17"/>
    <w:p w14:paraId="3E67AFFC">
      <w:pPr>
        <w:adjustRightInd w:val="0"/>
        <w:snapToGrid w:val="0"/>
        <w:spacing w:before="156" w:beforeLines="50" w:line="360" w:lineRule="auto"/>
        <w:ind w:right="28" w:firstLine="440" w:firstLineChars="200"/>
        <w:rPr>
          <w:rFonts w:ascii="楷体" w:hAnsi="楷体" w:eastAsia="楷体" w:cs="楷体"/>
          <w:color w:val="000000"/>
          <w:sz w:val="22"/>
        </w:rPr>
      </w:pPr>
      <w:r>
        <w:rPr>
          <w:rFonts w:hint="eastAsia" w:ascii="楷体" w:hAnsi="楷体" w:eastAsia="楷体" w:cs="楷体"/>
          <w:color w:val="000000"/>
          <w:sz w:val="22"/>
        </w:rPr>
        <w:t xml:space="preserve">授权代表（签字）：            </w:t>
      </w:r>
      <w:r>
        <w:rPr>
          <w:rFonts w:hint="eastAsia" w:ascii="楷体" w:hAnsi="楷体" w:eastAsia="楷体" w:cs="楷体"/>
          <w:color w:val="000000"/>
          <w:sz w:val="22"/>
        </w:rPr>
        <w:tab/>
      </w:r>
      <w:r>
        <w:rPr>
          <w:rFonts w:hint="eastAsia" w:ascii="楷体" w:hAnsi="楷体" w:eastAsia="楷体" w:cs="楷体"/>
          <w:color w:val="000000"/>
          <w:sz w:val="22"/>
        </w:rPr>
        <w:tab/>
      </w:r>
      <w:r>
        <w:rPr>
          <w:rFonts w:hint="eastAsia" w:ascii="楷体" w:hAnsi="楷体" w:eastAsia="楷体" w:cs="楷体"/>
          <w:color w:val="000000"/>
          <w:sz w:val="22"/>
        </w:rPr>
        <w:t xml:space="preserve">     </w:t>
      </w:r>
    </w:p>
    <w:p w14:paraId="6FDA71C5">
      <w:pPr>
        <w:adjustRightInd w:val="0"/>
        <w:snapToGrid w:val="0"/>
        <w:spacing w:before="156" w:beforeLines="50" w:line="360" w:lineRule="auto"/>
        <w:ind w:right="28" w:firstLine="440" w:firstLineChars="200"/>
        <w:rPr>
          <w:rFonts w:ascii="楷体" w:hAnsi="楷体" w:eastAsia="楷体" w:cs="楷体"/>
          <w:color w:val="000000"/>
          <w:sz w:val="22"/>
        </w:rPr>
      </w:pPr>
      <w:r>
        <w:rPr>
          <w:rFonts w:hint="eastAsia" w:ascii="楷体" w:hAnsi="楷体" w:eastAsia="楷体" w:cs="楷体"/>
          <w:color w:val="000000"/>
          <w:sz w:val="22"/>
        </w:rPr>
        <w:t>签约日期：</w:t>
      </w:r>
      <w:permStart w:id="18" w:edGrp="everyone"/>
      <w:r>
        <w:rPr>
          <w:rFonts w:hint="eastAsia" w:ascii="楷体" w:hAnsi="楷体" w:eastAsia="楷体" w:cs="楷体"/>
          <w:color w:val="000000"/>
          <w:sz w:val="22"/>
        </w:rPr>
        <w:t xml:space="preserve">   </w:t>
      </w:r>
      <w:permEnd w:id="18"/>
      <w:r>
        <w:rPr>
          <w:rFonts w:hint="eastAsia" w:ascii="楷体" w:hAnsi="楷体" w:eastAsia="楷体" w:cs="楷体"/>
          <w:color w:val="000000"/>
          <w:sz w:val="22"/>
        </w:rPr>
        <w:t>年</w:t>
      </w:r>
      <w:permStart w:id="19" w:edGrp="everyone"/>
      <w:r>
        <w:rPr>
          <w:rFonts w:hint="eastAsia" w:ascii="楷体" w:hAnsi="楷体" w:eastAsia="楷体" w:cs="楷体"/>
          <w:color w:val="000000"/>
          <w:sz w:val="22"/>
        </w:rPr>
        <w:t xml:space="preserve">   </w:t>
      </w:r>
      <w:permEnd w:id="19"/>
      <w:r>
        <w:rPr>
          <w:rFonts w:hint="eastAsia" w:ascii="楷体" w:hAnsi="楷体" w:eastAsia="楷体" w:cs="楷体"/>
          <w:color w:val="000000"/>
          <w:sz w:val="22"/>
        </w:rPr>
        <w:t>月</w:t>
      </w:r>
      <w:permStart w:id="20" w:edGrp="everyone"/>
      <w:r>
        <w:rPr>
          <w:rFonts w:hint="eastAsia" w:ascii="楷体" w:hAnsi="楷体" w:eastAsia="楷体" w:cs="楷体"/>
          <w:color w:val="000000"/>
          <w:sz w:val="22"/>
        </w:rPr>
        <w:t xml:space="preserve">   </w:t>
      </w:r>
      <w:permEnd w:id="20"/>
      <w:r>
        <w:rPr>
          <w:rFonts w:hint="eastAsia" w:ascii="楷体" w:hAnsi="楷体" w:eastAsia="楷体" w:cs="楷体"/>
          <w:color w:val="000000"/>
          <w:sz w:val="22"/>
        </w:rPr>
        <w:t xml:space="preserve">日 </w:t>
      </w:r>
    </w:p>
    <w:p w14:paraId="551B0514">
      <w:pPr>
        <w:adjustRightInd w:val="0"/>
        <w:snapToGrid w:val="0"/>
        <w:spacing w:before="156" w:beforeLines="50" w:line="360" w:lineRule="auto"/>
        <w:ind w:right="28" w:firstLine="440" w:firstLineChars="200"/>
        <w:rPr>
          <w:rFonts w:ascii="楷体" w:hAnsi="楷体" w:eastAsia="楷体" w:cs="楷体"/>
          <w:color w:val="000000"/>
          <w:sz w:val="22"/>
        </w:rPr>
      </w:pPr>
      <w:r>
        <w:rPr>
          <w:rFonts w:hint="eastAsia" w:ascii="楷体" w:hAnsi="楷体" w:eastAsia="楷体" w:cs="楷体"/>
          <w:color w:val="000000"/>
          <w:sz w:val="22"/>
        </w:rPr>
        <w:t>乙方（单位盖章）:</w:t>
      </w:r>
      <w:permStart w:id="21" w:edGrp="everyone"/>
      <w:r>
        <w:rPr>
          <w:rFonts w:hint="eastAsia" w:ascii="楷体" w:hAnsi="楷体" w:eastAsia="楷体" w:cs="楷体"/>
          <w:color w:val="000000"/>
          <w:sz w:val="22"/>
        </w:rPr>
        <w:t xml:space="preserve">            </w:t>
      </w:r>
    </w:p>
    <w:permEnd w:id="21"/>
    <w:p w14:paraId="05FDE1FD">
      <w:pPr>
        <w:adjustRightInd w:val="0"/>
        <w:snapToGrid w:val="0"/>
        <w:spacing w:before="156" w:beforeLines="50" w:line="360" w:lineRule="auto"/>
        <w:ind w:right="28" w:firstLine="440" w:firstLineChars="200"/>
        <w:rPr>
          <w:rFonts w:ascii="楷体" w:hAnsi="楷体" w:eastAsia="楷体" w:cs="楷体"/>
          <w:color w:val="000000"/>
          <w:sz w:val="22"/>
        </w:rPr>
      </w:pPr>
      <w:r>
        <w:rPr>
          <w:rFonts w:hint="eastAsia" w:ascii="楷体" w:hAnsi="楷体" w:eastAsia="楷体" w:cs="楷体"/>
          <w:color w:val="000000"/>
          <w:sz w:val="22"/>
        </w:rPr>
        <w:t>授权代表（签字）：</w:t>
      </w:r>
    </w:p>
    <w:p w14:paraId="5E84D605">
      <w:pPr>
        <w:adjustRightInd w:val="0"/>
        <w:snapToGrid w:val="0"/>
        <w:spacing w:before="156" w:beforeLines="50" w:line="360" w:lineRule="auto"/>
        <w:ind w:right="28" w:firstLine="440" w:firstLineChars="200"/>
        <w:rPr>
          <w:rFonts w:hint="eastAsia" w:ascii="楷体" w:hAnsi="楷体" w:eastAsia="楷体" w:cs="楷体"/>
          <w:color w:val="000000"/>
          <w:sz w:val="22"/>
        </w:rPr>
        <w:sectPr>
          <w:type w:val="continuous"/>
          <w:pgSz w:w="11906" w:h="16838"/>
          <w:pgMar w:top="1440" w:right="1080" w:bottom="1440" w:left="1080" w:header="851" w:footer="992" w:gutter="0"/>
          <w:cols w:equalWidth="0" w:num="2">
            <w:col w:w="4660" w:space="425"/>
            <w:col w:w="4660"/>
          </w:cols>
          <w:docGrid w:type="lines" w:linePitch="312" w:charSpace="0"/>
        </w:sectPr>
      </w:pPr>
      <w:r>
        <w:rPr>
          <w:rFonts w:hint="eastAsia" w:ascii="楷体" w:hAnsi="楷体" w:eastAsia="楷体" w:cs="楷体"/>
          <w:color w:val="000000"/>
          <w:sz w:val="22"/>
        </w:rPr>
        <w:t>签约日期：</w:t>
      </w:r>
      <w:permStart w:id="22" w:edGrp="everyone"/>
      <w:r>
        <w:rPr>
          <w:rFonts w:hint="eastAsia" w:ascii="楷体" w:hAnsi="楷体" w:eastAsia="楷体" w:cs="楷体"/>
          <w:color w:val="000000"/>
          <w:sz w:val="22"/>
        </w:rPr>
        <w:t xml:space="preserve">  </w:t>
      </w:r>
      <w:permEnd w:id="22"/>
      <w:r>
        <w:rPr>
          <w:rFonts w:hint="eastAsia" w:ascii="楷体" w:hAnsi="楷体" w:eastAsia="楷体" w:cs="楷体"/>
          <w:color w:val="000000"/>
          <w:sz w:val="22"/>
        </w:rPr>
        <w:t>年</w:t>
      </w:r>
      <w:permStart w:id="23" w:edGrp="everyone"/>
      <w:r>
        <w:rPr>
          <w:rFonts w:hint="eastAsia" w:ascii="楷体" w:hAnsi="楷体" w:eastAsia="楷体" w:cs="楷体"/>
          <w:color w:val="000000"/>
          <w:sz w:val="22"/>
        </w:rPr>
        <w:t xml:space="preserve">   </w:t>
      </w:r>
      <w:permEnd w:id="23"/>
      <w:r>
        <w:rPr>
          <w:rFonts w:hint="eastAsia" w:ascii="楷体" w:hAnsi="楷体" w:eastAsia="楷体" w:cs="楷体"/>
          <w:color w:val="000000"/>
          <w:sz w:val="22"/>
        </w:rPr>
        <w:t>月</w:t>
      </w:r>
      <w:permStart w:id="24" w:edGrp="everyone"/>
      <w:r>
        <w:rPr>
          <w:rFonts w:hint="eastAsia" w:ascii="楷体" w:hAnsi="楷体" w:eastAsia="楷体" w:cs="楷体"/>
          <w:color w:val="000000"/>
          <w:sz w:val="22"/>
        </w:rPr>
        <w:t xml:space="preserve">  </w:t>
      </w:r>
      <w:permEnd w:id="24"/>
      <w:r>
        <w:rPr>
          <w:rFonts w:hint="eastAsia" w:ascii="楷体" w:hAnsi="楷体" w:eastAsia="楷体" w:cs="楷体"/>
          <w:color w:val="000000"/>
          <w:sz w:val="22"/>
        </w:rPr>
        <w:t xml:space="preserve">日 </w:t>
      </w:r>
    </w:p>
    <w:p w14:paraId="38D659AB">
      <w:pPr>
        <w:adjustRightInd w:val="0"/>
        <w:snapToGrid w:val="0"/>
        <w:spacing w:before="156" w:beforeLines="50" w:line="360" w:lineRule="auto"/>
        <w:ind w:right="28" w:firstLine="440" w:firstLineChars="200"/>
        <w:rPr>
          <w:rFonts w:hint="eastAsia" w:ascii="楷体" w:hAnsi="楷体" w:eastAsia="楷体" w:cs="楷体"/>
          <w:color w:val="000000"/>
          <w:sz w:val="22"/>
        </w:rPr>
      </w:pPr>
      <w:r>
        <w:rPr>
          <w:rFonts w:hint="eastAsia" w:ascii="楷体" w:hAnsi="楷体" w:eastAsia="楷体" w:cs="楷体"/>
          <w:color w:val="000000"/>
          <w:sz w:val="22"/>
        </w:rPr>
        <w:t xml:space="preserve">  </w:t>
      </w:r>
    </w:p>
    <w:p w14:paraId="164F65A0">
      <w:pPr>
        <w:adjustRightInd/>
        <w:snapToGrid/>
        <w:spacing w:before="0" w:beforeLines="-2147483648" w:line="240" w:lineRule="auto"/>
        <w:ind w:right="0" w:firstLine="0" w:firstLineChars="0"/>
        <w:rPr>
          <w:rFonts w:hint="eastAsia" w:ascii="楷体" w:hAnsi="楷体" w:eastAsia="楷体" w:cs="楷体"/>
          <w:color w:val="000000"/>
          <w:sz w:val="22"/>
        </w:rPr>
      </w:pPr>
      <w:r>
        <w:rPr>
          <w:rFonts w:hint="eastAsia" w:ascii="楷体" w:hAnsi="楷体" w:eastAsia="楷体" w:cs="楷体"/>
          <w:color w:val="000000"/>
          <w:sz w:val="22"/>
        </w:rPr>
        <w:br w:type="page"/>
      </w:r>
    </w:p>
    <w:p w14:paraId="33E6F63C">
      <w:pPr>
        <w:numPr>
          <w:ilvl w:val="0"/>
          <w:numId w:val="0"/>
        </w:numPr>
        <w:ind w:leftChars="0"/>
        <w:rPr>
          <w:rFonts w:hint="eastAsia" w:ascii="楷体" w:hAnsi="楷体" w:eastAsia="楷体" w:cs="楷体"/>
          <w:kern w:val="0"/>
          <w:sz w:val="22"/>
          <w:szCs w:val="22"/>
          <w:lang w:val="en-US" w:eastAsia="zh-CN"/>
        </w:rPr>
      </w:pPr>
      <w:r>
        <w:rPr>
          <w:rFonts w:hint="eastAsia" w:ascii="楷体" w:hAnsi="楷体" w:eastAsia="楷体" w:cs="楷体"/>
          <w:kern w:val="0"/>
          <w:sz w:val="22"/>
          <w:szCs w:val="22"/>
          <w:lang w:val="en-US" w:eastAsia="zh-CN"/>
        </w:rPr>
        <w:t>附件：《系统服务项目及单价表》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9"/>
        <w:gridCol w:w="2161"/>
        <w:gridCol w:w="1812"/>
        <w:gridCol w:w="4048"/>
      </w:tblGrid>
      <w:tr w14:paraId="49FB4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9" w:type="dxa"/>
            <w:vAlign w:val="center"/>
          </w:tcPr>
          <w:p w14:paraId="23E4EE54">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服务通道</w:t>
            </w:r>
          </w:p>
        </w:tc>
        <w:tc>
          <w:tcPr>
            <w:tcW w:w="2161" w:type="dxa"/>
            <w:vAlign w:val="center"/>
          </w:tcPr>
          <w:p w14:paraId="1DC548E9">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服务项目/类型</w:t>
            </w:r>
          </w:p>
        </w:tc>
        <w:tc>
          <w:tcPr>
            <w:tcW w:w="1812" w:type="dxa"/>
            <w:vAlign w:val="center"/>
          </w:tcPr>
          <w:p w14:paraId="49F784EF">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单价（人民币/次）</w:t>
            </w:r>
          </w:p>
        </w:tc>
        <w:tc>
          <w:tcPr>
            <w:tcW w:w="4048" w:type="dxa"/>
            <w:vAlign w:val="center"/>
          </w:tcPr>
          <w:p w14:paraId="027FA7C8">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服务内容/说明</w:t>
            </w:r>
          </w:p>
        </w:tc>
      </w:tr>
      <w:tr w14:paraId="691F7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9" w:type="dxa"/>
            <w:vMerge w:val="restart"/>
            <w:vAlign w:val="center"/>
          </w:tcPr>
          <w:p w14:paraId="0531DD2C">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Style w:val="10"/>
                <w:rFonts w:hint="eastAsia" w:ascii="楷体" w:hAnsi="楷体" w:eastAsia="楷体" w:cs="楷体"/>
                <w:b/>
                <w:bCs/>
                <w:i w:val="0"/>
                <w:iCs w:val="0"/>
                <w:caps w:val="0"/>
                <w:color w:val="0F1115"/>
                <w:spacing w:val="0"/>
                <w:kern w:val="0"/>
                <w:sz w:val="22"/>
                <w:szCs w:val="22"/>
                <w:lang w:val="en-US" w:eastAsia="zh-CN" w:bidi="ar"/>
              </w:rPr>
              <w:t>一、签约通道服务</w:t>
            </w:r>
          </w:p>
        </w:tc>
        <w:tc>
          <w:tcPr>
            <w:tcW w:w="2161" w:type="dxa"/>
            <w:vAlign w:val="center"/>
          </w:tcPr>
          <w:p w14:paraId="1275A33E">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自由职业者签约（全流程）</w:t>
            </w:r>
          </w:p>
        </w:tc>
        <w:tc>
          <w:tcPr>
            <w:tcW w:w="1812" w:type="dxa"/>
            <w:vAlign w:val="center"/>
          </w:tcPr>
          <w:p w14:paraId="7791B60D">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0.71 元/份</w:t>
            </w:r>
          </w:p>
        </w:tc>
        <w:tc>
          <w:tcPr>
            <w:tcW w:w="4048" w:type="dxa"/>
            <w:vAlign w:val="center"/>
          </w:tcPr>
          <w:p w14:paraId="3E81009F">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指完成单次有效电子签约的全流程服务，包括本合同履行所必需的</w:t>
            </w:r>
            <w:r>
              <w:rPr>
                <w:rStyle w:val="10"/>
                <w:rFonts w:hint="eastAsia" w:ascii="楷体" w:hAnsi="楷体" w:eastAsia="楷体" w:cs="楷体"/>
                <w:b/>
                <w:bCs/>
                <w:i w:val="0"/>
                <w:iCs w:val="0"/>
                <w:caps w:val="0"/>
                <w:color w:val="0F1115"/>
                <w:spacing w:val="0"/>
                <w:kern w:val="0"/>
                <w:sz w:val="22"/>
                <w:szCs w:val="22"/>
                <w:lang w:val="en-US" w:eastAsia="zh-CN" w:bidi="ar"/>
              </w:rPr>
              <w:t>合同在线签署、身份验证及相关短信通知等服务</w:t>
            </w:r>
            <w:r>
              <w:rPr>
                <w:rFonts w:hint="eastAsia" w:ascii="楷体" w:hAnsi="楷体" w:eastAsia="楷体" w:cs="楷体"/>
                <w:b/>
                <w:bCs/>
                <w:i w:val="0"/>
                <w:iCs w:val="0"/>
                <w:caps w:val="0"/>
                <w:color w:val="0F1115"/>
                <w:spacing w:val="0"/>
                <w:kern w:val="0"/>
                <w:sz w:val="22"/>
                <w:szCs w:val="22"/>
                <w:lang w:val="en-US" w:eastAsia="zh-CN" w:bidi="ar"/>
              </w:rPr>
              <w:t>，具体以甲方提供的标准签约流程为准。</w:t>
            </w:r>
          </w:p>
        </w:tc>
      </w:tr>
      <w:tr w14:paraId="30E80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9" w:type="dxa"/>
            <w:vMerge w:val="continue"/>
            <w:vAlign w:val="center"/>
          </w:tcPr>
          <w:p w14:paraId="280ED810">
            <w:pPr>
              <w:rPr>
                <w:rFonts w:hint="eastAsia" w:ascii="楷体" w:hAnsi="楷体" w:eastAsia="楷体" w:cs="楷体"/>
                <w:b/>
                <w:bCs/>
                <w:sz w:val="22"/>
                <w:szCs w:val="22"/>
                <w:vertAlign w:val="baseline"/>
              </w:rPr>
            </w:pPr>
          </w:p>
        </w:tc>
        <w:tc>
          <w:tcPr>
            <w:tcW w:w="2161" w:type="dxa"/>
            <w:vAlign w:val="center"/>
          </w:tcPr>
          <w:p w14:paraId="46AD163E">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企业客户签约（全流程）</w:t>
            </w:r>
          </w:p>
        </w:tc>
        <w:tc>
          <w:tcPr>
            <w:tcW w:w="1812" w:type="dxa"/>
            <w:vAlign w:val="center"/>
          </w:tcPr>
          <w:p w14:paraId="331E7EBC">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0.69 元/份</w:t>
            </w:r>
          </w:p>
        </w:tc>
        <w:tc>
          <w:tcPr>
            <w:tcW w:w="4048" w:type="dxa"/>
            <w:vAlign w:val="center"/>
          </w:tcPr>
          <w:p w14:paraId="4A6D6E63">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同上。此处“企业客户”指乙方拓展并完成签约的企业主体。</w:t>
            </w:r>
          </w:p>
        </w:tc>
      </w:tr>
      <w:tr w14:paraId="51FBA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9" w:type="dxa"/>
            <w:vMerge w:val="restart"/>
            <w:vAlign w:val="center"/>
          </w:tcPr>
          <w:p w14:paraId="09EC9E9E">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Style w:val="10"/>
                <w:rFonts w:hint="eastAsia" w:ascii="楷体" w:hAnsi="楷体" w:eastAsia="楷体" w:cs="楷体"/>
                <w:b/>
                <w:bCs/>
                <w:i w:val="0"/>
                <w:iCs w:val="0"/>
                <w:caps w:val="0"/>
                <w:color w:val="0F1115"/>
                <w:spacing w:val="0"/>
                <w:kern w:val="0"/>
                <w:sz w:val="22"/>
                <w:szCs w:val="22"/>
                <w:lang w:val="en-US" w:eastAsia="zh-CN" w:bidi="ar"/>
              </w:rPr>
              <w:t>二、认证通道服务</w:t>
            </w:r>
          </w:p>
        </w:tc>
        <w:tc>
          <w:tcPr>
            <w:tcW w:w="2161" w:type="dxa"/>
            <w:vAlign w:val="center"/>
          </w:tcPr>
          <w:p w14:paraId="690B52CE">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银行卡三要素简版认证</w:t>
            </w:r>
          </w:p>
        </w:tc>
        <w:tc>
          <w:tcPr>
            <w:tcW w:w="1812" w:type="dxa"/>
            <w:vAlign w:val="center"/>
          </w:tcPr>
          <w:p w14:paraId="4843295B">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0.18 元/条</w:t>
            </w:r>
          </w:p>
        </w:tc>
        <w:tc>
          <w:tcPr>
            <w:tcW w:w="4048" w:type="dxa"/>
            <w:vAlign w:val="center"/>
          </w:tcPr>
          <w:p w14:paraId="16B078A2">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指对自由职业者提供的银行卡号、姓名、身份证号进行一致性验证。</w:t>
            </w:r>
          </w:p>
        </w:tc>
      </w:tr>
      <w:tr w14:paraId="291E1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9" w:type="dxa"/>
            <w:vMerge w:val="continue"/>
            <w:vAlign w:val="center"/>
          </w:tcPr>
          <w:p w14:paraId="6A0F4A1C">
            <w:pPr>
              <w:rPr>
                <w:rFonts w:hint="eastAsia" w:ascii="楷体" w:hAnsi="楷体" w:eastAsia="楷体" w:cs="楷体"/>
                <w:b/>
                <w:bCs/>
                <w:sz w:val="22"/>
                <w:szCs w:val="22"/>
                <w:vertAlign w:val="baseline"/>
              </w:rPr>
            </w:pPr>
          </w:p>
        </w:tc>
        <w:tc>
          <w:tcPr>
            <w:tcW w:w="2161" w:type="dxa"/>
            <w:vAlign w:val="center"/>
          </w:tcPr>
          <w:p w14:paraId="7A0DBDA3">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银行卡四要素简版认证</w:t>
            </w:r>
          </w:p>
        </w:tc>
        <w:tc>
          <w:tcPr>
            <w:tcW w:w="1812" w:type="dxa"/>
            <w:vAlign w:val="center"/>
          </w:tcPr>
          <w:p w14:paraId="2FD910E1">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0.18 元/条</w:t>
            </w:r>
          </w:p>
        </w:tc>
        <w:tc>
          <w:tcPr>
            <w:tcW w:w="4048" w:type="dxa"/>
            <w:vAlign w:val="center"/>
          </w:tcPr>
          <w:p w14:paraId="041DD6A1">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指对自由职业者提供的银行卡号、姓名、身份证号、手机号进行一致性验证。</w:t>
            </w:r>
          </w:p>
        </w:tc>
      </w:tr>
      <w:tr w14:paraId="5A10A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9" w:type="dxa"/>
            <w:vMerge w:val="continue"/>
            <w:vAlign w:val="center"/>
          </w:tcPr>
          <w:p w14:paraId="27515525">
            <w:pPr>
              <w:rPr>
                <w:rFonts w:hint="eastAsia" w:ascii="楷体" w:hAnsi="楷体" w:eastAsia="楷体" w:cs="楷体"/>
                <w:b/>
                <w:bCs/>
                <w:sz w:val="22"/>
                <w:szCs w:val="22"/>
                <w:vertAlign w:val="baseline"/>
              </w:rPr>
            </w:pPr>
          </w:p>
        </w:tc>
        <w:tc>
          <w:tcPr>
            <w:tcW w:w="2161" w:type="dxa"/>
            <w:vAlign w:val="center"/>
          </w:tcPr>
          <w:p w14:paraId="35C01253">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运营商三要素简版认证</w:t>
            </w:r>
          </w:p>
        </w:tc>
        <w:tc>
          <w:tcPr>
            <w:tcW w:w="1812" w:type="dxa"/>
            <w:vAlign w:val="center"/>
          </w:tcPr>
          <w:p w14:paraId="24D7CBE9">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0.18 元/条</w:t>
            </w:r>
          </w:p>
        </w:tc>
        <w:tc>
          <w:tcPr>
            <w:tcW w:w="4048" w:type="dxa"/>
            <w:vAlign w:val="center"/>
          </w:tcPr>
          <w:p w14:paraId="26D7A761">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指对自由职业者提供的手机号、姓名、身份证号进行一致性验证。</w:t>
            </w:r>
          </w:p>
        </w:tc>
      </w:tr>
      <w:tr w14:paraId="3ED3A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599" w:type="dxa"/>
            <w:vMerge w:val="continue"/>
            <w:vAlign w:val="center"/>
          </w:tcPr>
          <w:p w14:paraId="4BE78D04">
            <w:pPr>
              <w:rPr>
                <w:rFonts w:hint="eastAsia" w:ascii="楷体" w:hAnsi="楷体" w:eastAsia="楷体" w:cs="楷体"/>
                <w:b/>
                <w:bCs/>
                <w:sz w:val="22"/>
                <w:szCs w:val="22"/>
                <w:vertAlign w:val="baseline"/>
              </w:rPr>
            </w:pPr>
          </w:p>
        </w:tc>
        <w:tc>
          <w:tcPr>
            <w:tcW w:w="2161" w:type="dxa"/>
            <w:vAlign w:val="center"/>
          </w:tcPr>
          <w:p w14:paraId="180EA140">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银行卡三要素详版认证</w:t>
            </w:r>
          </w:p>
        </w:tc>
        <w:tc>
          <w:tcPr>
            <w:tcW w:w="1812" w:type="dxa"/>
            <w:vAlign w:val="center"/>
          </w:tcPr>
          <w:p w14:paraId="5D9D16D7">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0.22 元/条</w:t>
            </w:r>
          </w:p>
        </w:tc>
        <w:tc>
          <w:tcPr>
            <w:tcW w:w="4048" w:type="dxa"/>
            <w:vAlign w:val="center"/>
          </w:tcPr>
          <w:p w14:paraId="7BBA567E">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在简版基础上，提供更详尽的验证信息反馈。</w:t>
            </w:r>
          </w:p>
        </w:tc>
      </w:tr>
      <w:tr w14:paraId="231D5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599" w:type="dxa"/>
            <w:vMerge w:val="continue"/>
            <w:vAlign w:val="center"/>
          </w:tcPr>
          <w:p w14:paraId="752DAD7B">
            <w:pPr>
              <w:rPr>
                <w:rFonts w:hint="eastAsia" w:ascii="楷体" w:hAnsi="楷体" w:eastAsia="楷体" w:cs="楷体"/>
                <w:b/>
                <w:bCs/>
                <w:sz w:val="22"/>
                <w:szCs w:val="22"/>
                <w:vertAlign w:val="baseline"/>
              </w:rPr>
            </w:pPr>
          </w:p>
        </w:tc>
        <w:tc>
          <w:tcPr>
            <w:tcW w:w="2161" w:type="dxa"/>
            <w:vAlign w:val="center"/>
          </w:tcPr>
          <w:p w14:paraId="2A653E9B">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运营商三要素详版认证</w:t>
            </w:r>
          </w:p>
        </w:tc>
        <w:tc>
          <w:tcPr>
            <w:tcW w:w="1812" w:type="dxa"/>
            <w:vAlign w:val="center"/>
          </w:tcPr>
          <w:p w14:paraId="60A68DAA">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0.22 元/条</w:t>
            </w:r>
          </w:p>
        </w:tc>
        <w:tc>
          <w:tcPr>
            <w:tcW w:w="4048" w:type="dxa"/>
            <w:vAlign w:val="center"/>
          </w:tcPr>
          <w:p w14:paraId="5CB4C2A5">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在简版基础上，提供更详尽的验证信息反馈。</w:t>
            </w:r>
          </w:p>
        </w:tc>
      </w:tr>
      <w:tr w14:paraId="760A2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599" w:type="dxa"/>
            <w:vMerge w:val="continue"/>
            <w:vAlign w:val="center"/>
          </w:tcPr>
          <w:p w14:paraId="1CE24E39">
            <w:pPr>
              <w:rPr>
                <w:rFonts w:hint="eastAsia" w:ascii="楷体" w:hAnsi="楷体" w:eastAsia="楷体" w:cs="楷体"/>
                <w:b/>
                <w:bCs/>
                <w:sz w:val="22"/>
                <w:szCs w:val="22"/>
                <w:vertAlign w:val="baseline"/>
              </w:rPr>
            </w:pPr>
          </w:p>
        </w:tc>
        <w:tc>
          <w:tcPr>
            <w:tcW w:w="2161" w:type="dxa"/>
            <w:vAlign w:val="center"/>
          </w:tcPr>
          <w:p w14:paraId="452AA0B4">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银行卡四要素详版认证</w:t>
            </w:r>
          </w:p>
        </w:tc>
        <w:tc>
          <w:tcPr>
            <w:tcW w:w="1812" w:type="dxa"/>
            <w:vAlign w:val="center"/>
          </w:tcPr>
          <w:p w14:paraId="030B18F8">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0.30 元/条</w:t>
            </w:r>
          </w:p>
        </w:tc>
        <w:tc>
          <w:tcPr>
            <w:tcW w:w="4048" w:type="dxa"/>
            <w:vAlign w:val="center"/>
          </w:tcPr>
          <w:p w14:paraId="50FD938C">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在简版基础上，提供更详尽的验证信息反馈。</w:t>
            </w:r>
          </w:p>
        </w:tc>
      </w:tr>
      <w:tr w14:paraId="13B1D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9" w:type="dxa"/>
            <w:vMerge w:val="continue"/>
            <w:vAlign w:val="center"/>
          </w:tcPr>
          <w:p w14:paraId="448EDF43">
            <w:pPr>
              <w:rPr>
                <w:rFonts w:hint="eastAsia" w:ascii="楷体" w:hAnsi="楷体" w:eastAsia="楷体" w:cs="楷体"/>
                <w:b/>
                <w:bCs/>
                <w:sz w:val="22"/>
                <w:szCs w:val="22"/>
                <w:vertAlign w:val="baseline"/>
              </w:rPr>
            </w:pPr>
          </w:p>
        </w:tc>
        <w:tc>
          <w:tcPr>
            <w:tcW w:w="2161" w:type="dxa"/>
            <w:vAlign w:val="center"/>
          </w:tcPr>
          <w:p w14:paraId="4A4C6126">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身份证二要素认证</w:t>
            </w:r>
          </w:p>
        </w:tc>
        <w:tc>
          <w:tcPr>
            <w:tcW w:w="1812" w:type="dxa"/>
            <w:vAlign w:val="center"/>
          </w:tcPr>
          <w:p w14:paraId="6F281C2E">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0.03 元/条</w:t>
            </w:r>
          </w:p>
        </w:tc>
        <w:tc>
          <w:tcPr>
            <w:tcW w:w="4048" w:type="dxa"/>
            <w:vAlign w:val="center"/>
          </w:tcPr>
          <w:p w14:paraId="0550FC13">
            <w:pPr>
              <w:keepNext w:val="0"/>
              <w:keepLines w:val="0"/>
              <w:widowControl/>
              <w:suppressLineNumbers w:val="0"/>
              <w:spacing w:line="250" w:lineRule="atLeast"/>
              <w:jc w:val="left"/>
              <w:rPr>
                <w:rFonts w:hint="eastAsia" w:ascii="楷体" w:hAnsi="楷体" w:eastAsia="楷体" w:cs="楷体"/>
                <w:b/>
                <w:bCs/>
                <w:sz w:val="22"/>
                <w:szCs w:val="22"/>
                <w:vertAlign w:val="baseline"/>
              </w:rPr>
            </w:pPr>
            <w:r>
              <w:rPr>
                <w:rFonts w:hint="eastAsia" w:ascii="楷体" w:hAnsi="楷体" w:eastAsia="楷体" w:cs="楷体"/>
                <w:b/>
                <w:bCs/>
                <w:i w:val="0"/>
                <w:iCs w:val="0"/>
                <w:caps w:val="0"/>
                <w:color w:val="0F1115"/>
                <w:spacing w:val="0"/>
                <w:kern w:val="0"/>
                <w:sz w:val="22"/>
                <w:szCs w:val="22"/>
                <w:lang w:val="en-US" w:eastAsia="zh-CN" w:bidi="ar"/>
              </w:rPr>
              <w:t>指对自由职业者提供的姓名、身份证号进行一致性验证。</w:t>
            </w:r>
          </w:p>
        </w:tc>
      </w:tr>
    </w:tbl>
    <w:p w14:paraId="72D5544C">
      <w:pPr>
        <w:adjustRightInd w:val="0"/>
        <w:snapToGrid w:val="0"/>
        <w:spacing w:before="156" w:beforeLines="50" w:line="360" w:lineRule="auto"/>
        <w:ind w:right="28" w:firstLine="440" w:firstLineChars="200"/>
        <w:rPr>
          <w:rFonts w:hint="eastAsia" w:ascii="楷体" w:hAnsi="楷体" w:eastAsia="楷体" w:cs="楷体"/>
          <w:color w:val="000000"/>
          <w:sz w:val="22"/>
        </w:rPr>
      </w:pPr>
    </w:p>
    <w:sectPr>
      <w:type w:val="continuous"/>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E08CC">
    <w:pPr>
      <w:pStyle w:val="4"/>
      <w:jc w:val="center"/>
    </w:pPr>
    <w:sdt>
      <w:sdtPr>
        <w:id w:val="1728636285"/>
      </w:sdtPr>
      <w:sdtContent>
        <w:r>
          <w:rPr>
            <w:b/>
            <w:bCs/>
            <w:sz w:val="24"/>
            <w:szCs w:val="24"/>
          </w:rPr>
          <w:fldChar w:fldCharType="begin"/>
        </w:r>
        <w:r>
          <w:rPr>
            <w:b/>
            <w:bCs/>
          </w:rPr>
          <w:instrText xml:space="preserve">PAGE</w:instrText>
        </w:r>
        <w:r>
          <w:rPr>
            <w:b/>
            <w:bCs/>
            <w:sz w:val="24"/>
            <w:szCs w:val="24"/>
          </w:rPr>
          <w:fldChar w:fldCharType="separate"/>
        </w:r>
        <w:r>
          <w:rPr>
            <w:b/>
            <w:bCs/>
          </w:rPr>
          <w:t>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w:t>
        </w:r>
        <w:r>
          <w:rPr>
            <w:b/>
            <w:bCs/>
            <w:sz w:val="24"/>
            <w:szCs w:val="24"/>
          </w:rPr>
          <w:fldChar w:fldCharType="end"/>
        </w:r>
        <w:r>
          <w:rPr>
            <w:rFonts w:hint="eastAsia"/>
          </w:rPr>
          <w:t xml:space="preserve"> </w:t>
        </w:r>
      </w:sdtContent>
    </w:sdt>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32A2C">
    <w:pPr>
      <w:pStyle w:val="5"/>
      <w:pBdr>
        <w:bottom w:val="single" w:color="auto" w:sz="6" w:space="5"/>
      </w:pBdr>
      <w:tabs>
        <w:tab w:val="left" w:pos="289"/>
        <w:tab w:val="right" w:pos="9758"/>
      </w:tabs>
      <w:jc w:val="right"/>
    </w:pPr>
    <w:r>
      <w:drawing>
        <wp:inline distT="0" distB="0" distL="0" distR="0">
          <wp:extent cx="1069340" cy="3359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95736" cy="344546"/>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EB5EAD"/>
    <w:multiLevelType w:val="multilevel"/>
    <w:tmpl w:val="46EB5EAD"/>
    <w:lvl w:ilvl="0" w:tentative="0">
      <w:start w:val="1"/>
      <w:numFmt w:val="japaneseCounting"/>
      <w:lvlText w:val="%1、"/>
      <w:lvlJc w:val="left"/>
      <w:pPr>
        <w:ind w:left="440" w:hanging="44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1" w:cryptProviderType="rsaFull" w:cryptAlgorithmClass="hash" w:cryptAlgorithmType="typeAny" w:cryptAlgorithmSid="4" w:cryptSpinCount="0" w:hash="VTTONnq+hPYIA3msWAaSrEiJr6w=" w:salt="NATzZsZqmgmcJ98gjuRpMg=="/>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VhNDAzN2JiNjc0ZmM3YWZkNzc0ZTU4OTVhNTY0NzYifQ=="/>
  </w:docVars>
  <w:rsids>
    <w:rsidRoot w:val="0087336D"/>
    <w:rsid w:val="000123B9"/>
    <w:rsid w:val="00016B8F"/>
    <w:rsid w:val="00031221"/>
    <w:rsid w:val="00056ACA"/>
    <w:rsid w:val="000572E3"/>
    <w:rsid w:val="00076E7A"/>
    <w:rsid w:val="000A6259"/>
    <w:rsid w:val="000C5ED0"/>
    <w:rsid w:val="000F2A74"/>
    <w:rsid w:val="00114A7C"/>
    <w:rsid w:val="00116138"/>
    <w:rsid w:val="00121990"/>
    <w:rsid w:val="00144BE3"/>
    <w:rsid w:val="0014775D"/>
    <w:rsid w:val="0016519B"/>
    <w:rsid w:val="00172106"/>
    <w:rsid w:val="001749EB"/>
    <w:rsid w:val="00197E1A"/>
    <w:rsid w:val="001A3D79"/>
    <w:rsid w:val="001B6D33"/>
    <w:rsid w:val="001C0C79"/>
    <w:rsid w:val="001D1702"/>
    <w:rsid w:val="001D5247"/>
    <w:rsid w:val="001F733E"/>
    <w:rsid w:val="00206B21"/>
    <w:rsid w:val="00207D7D"/>
    <w:rsid w:val="00213134"/>
    <w:rsid w:val="00224CAE"/>
    <w:rsid w:val="00236089"/>
    <w:rsid w:val="00242D06"/>
    <w:rsid w:val="00280049"/>
    <w:rsid w:val="00283091"/>
    <w:rsid w:val="002A45D4"/>
    <w:rsid w:val="002A7448"/>
    <w:rsid w:val="002B1FF0"/>
    <w:rsid w:val="002C0023"/>
    <w:rsid w:val="002D484D"/>
    <w:rsid w:val="002E01CB"/>
    <w:rsid w:val="003015D7"/>
    <w:rsid w:val="00306881"/>
    <w:rsid w:val="003116D2"/>
    <w:rsid w:val="00313CB6"/>
    <w:rsid w:val="00321E50"/>
    <w:rsid w:val="00324EE6"/>
    <w:rsid w:val="003279B1"/>
    <w:rsid w:val="00331CF8"/>
    <w:rsid w:val="00337B33"/>
    <w:rsid w:val="0034019D"/>
    <w:rsid w:val="00340F42"/>
    <w:rsid w:val="00351ADC"/>
    <w:rsid w:val="003C0B97"/>
    <w:rsid w:val="003C5B27"/>
    <w:rsid w:val="003C5B71"/>
    <w:rsid w:val="0040441E"/>
    <w:rsid w:val="004613C6"/>
    <w:rsid w:val="00472B4D"/>
    <w:rsid w:val="00484021"/>
    <w:rsid w:val="0049711A"/>
    <w:rsid w:val="004A04EB"/>
    <w:rsid w:val="004A337F"/>
    <w:rsid w:val="004B468A"/>
    <w:rsid w:val="004D3A0F"/>
    <w:rsid w:val="004E3FE8"/>
    <w:rsid w:val="004E7438"/>
    <w:rsid w:val="004F7A68"/>
    <w:rsid w:val="0052200F"/>
    <w:rsid w:val="005338B8"/>
    <w:rsid w:val="00541396"/>
    <w:rsid w:val="0054311F"/>
    <w:rsid w:val="00554CDA"/>
    <w:rsid w:val="00580C4E"/>
    <w:rsid w:val="00595636"/>
    <w:rsid w:val="005B2E0E"/>
    <w:rsid w:val="005D2CD2"/>
    <w:rsid w:val="005D58BE"/>
    <w:rsid w:val="005E43FD"/>
    <w:rsid w:val="005F2ACE"/>
    <w:rsid w:val="005F5592"/>
    <w:rsid w:val="005F5BD1"/>
    <w:rsid w:val="0060269A"/>
    <w:rsid w:val="00606549"/>
    <w:rsid w:val="00617658"/>
    <w:rsid w:val="0064147B"/>
    <w:rsid w:val="00642107"/>
    <w:rsid w:val="00660DDE"/>
    <w:rsid w:val="0068398E"/>
    <w:rsid w:val="00694A91"/>
    <w:rsid w:val="006D0B97"/>
    <w:rsid w:val="006D61EC"/>
    <w:rsid w:val="006E00E2"/>
    <w:rsid w:val="006E3A37"/>
    <w:rsid w:val="006F5D6A"/>
    <w:rsid w:val="00701786"/>
    <w:rsid w:val="00710E01"/>
    <w:rsid w:val="00712B0B"/>
    <w:rsid w:val="00754595"/>
    <w:rsid w:val="00761397"/>
    <w:rsid w:val="00765B27"/>
    <w:rsid w:val="00766B99"/>
    <w:rsid w:val="00767CCB"/>
    <w:rsid w:val="00797134"/>
    <w:rsid w:val="007A032E"/>
    <w:rsid w:val="007B4D91"/>
    <w:rsid w:val="007C3F98"/>
    <w:rsid w:val="007C5A33"/>
    <w:rsid w:val="007E24F5"/>
    <w:rsid w:val="007F0B40"/>
    <w:rsid w:val="00800BD3"/>
    <w:rsid w:val="00801EA6"/>
    <w:rsid w:val="00803FB3"/>
    <w:rsid w:val="0083742A"/>
    <w:rsid w:val="00850FCC"/>
    <w:rsid w:val="00856013"/>
    <w:rsid w:val="008611BE"/>
    <w:rsid w:val="0086734C"/>
    <w:rsid w:val="0087336D"/>
    <w:rsid w:val="00892AAE"/>
    <w:rsid w:val="008A58D6"/>
    <w:rsid w:val="008B4E62"/>
    <w:rsid w:val="008C2E95"/>
    <w:rsid w:val="008D2AD4"/>
    <w:rsid w:val="008F145E"/>
    <w:rsid w:val="00910963"/>
    <w:rsid w:val="009434BC"/>
    <w:rsid w:val="00946D3E"/>
    <w:rsid w:val="00971C6A"/>
    <w:rsid w:val="00972725"/>
    <w:rsid w:val="009B109F"/>
    <w:rsid w:val="009D3CFE"/>
    <w:rsid w:val="009D5AD7"/>
    <w:rsid w:val="009E3C19"/>
    <w:rsid w:val="00A0445C"/>
    <w:rsid w:val="00A04CD1"/>
    <w:rsid w:val="00A4211B"/>
    <w:rsid w:val="00A425EF"/>
    <w:rsid w:val="00A42B50"/>
    <w:rsid w:val="00A455DA"/>
    <w:rsid w:val="00A666BD"/>
    <w:rsid w:val="00A84F78"/>
    <w:rsid w:val="00A948D0"/>
    <w:rsid w:val="00AA7796"/>
    <w:rsid w:val="00AB2565"/>
    <w:rsid w:val="00AD758A"/>
    <w:rsid w:val="00AE50ED"/>
    <w:rsid w:val="00AE52DF"/>
    <w:rsid w:val="00B05A24"/>
    <w:rsid w:val="00B20BB9"/>
    <w:rsid w:val="00B21046"/>
    <w:rsid w:val="00B2318F"/>
    <w:rsid w:val="00B570C9"/>
    <w:rsid w:val="00B571D5"/>
    <w:rsid w:val="00B63493"/>
    <w:rsid w:val="00B67AC2"/>
    <w:rsid w:val="00B84FEE"/>
    <w:rsid w:val="00B928A7"/>
    <w:rsid w:val="00BA0538"/>
    <w:rsid w:val="00BC595F"/>
    <w:rsid w:val="00BC5AE1"/>
    <w:rsid w:val="00C06119"/>
    <w:rsid w:val="00C2309E"/>
    <w:rsid w:val="00C23DA6"/>
    <w:rsid w:val="00C4399A"/>
    <w:rsid w:val="00C4550E"/>
    <w:rsid w:val="00C57A6E"/>
    <w:rsid w:val="00C740AC"/>
    <w:rsid w:val="00C9112F"/>
    <w:rsid w:val="00C93EA4"/>
    <w:rsid w:val="00C96781"/>
    <w:rsid w:val="00CA1320"/>
    <w:rsid w:val="00CE0632"/>
    <w:rsid w:val="00CE2513"/>
    <w:rsid w:val="00CE6FAD"/>
    <w:rsid w:val="00CF64EC"/>
    <w:rsid w:val="00CF6CAF"/>
    <w:rsid w:val="00D0489B"/>
    <w:rsid w:val="00D24B45"/>
    <w:rsid w:val="00D265C6"/>
    <w:rsid w:val="00D3759F"/>
    <w:rsid w:val="00D67FCF"/>
    <w:rsid w:val="00D7012E"/>
    <w:rsid w:val="00D74ED1"/>
    <w:rsid w:val="00D807C8"/>
    <w:rsid w:val="00D81F28"/>
    <w:rsid w:val="00DA47F3"/>
    <w:rsid w:val="00DB1366"/>
    <w:rsid w:val="00DB4E30"/>
    <w:rsid w:val="00DC7956"/>
    <w:rsid w:val="00DD0EEA"/>
    <w:rsid w:val="00DD2C7E"/>
    <w:rsid w:val="00DD6E7C"/>
    <w:rsid w:val="00DF0F7B"/>
    <w:rsid w:val="00DF1772"/>
    <w:rsid w:val="00E02C6B"/>
    <w:rsid w:val="00E16634"/>
    <w:rsid w:val="00E27B7C"/>
    <w:rsid w:val="00E375AE"/>
    <w:rsid w:val="00E62F2A"/>
    <w:rsid w:val="00E7556B"/>
    <w:rsid w:val="00E93B52"/>
    <w:rsid w:val="00E95A40"/>
    <w:rsid w:val="00E973CB"/>
    <w:rsid w:val="00EB09D0"/>
    <w:rsid w:val="00EB26DC"/>
    <w:rsid w:val="00EC77E6"/>
    <w:rsid w:val="00EE582F"/>
    <w:rsid w:val="00F0288A"/>
    <w:rsid w:val="00F0453D"/>
    <w:rsid w:val="00F22F3C"/>
    <w:rsid w:val="00F249DF"/>
    <w:rsid w:val="00F25A6F"/>
    <w:rsid w:val="00F46847"/>
    <w:rsid w:val="00F50200"/>
    <w:rsid w:val="00F55AEB"/>
    <w:rsid w:val="00F63E6C"/>
    <w:rsid w:val="00F652D8"/>
    <w:rsid w:val="00F91318"/>
    <w:rsid w:val="00FB1A87"/>
    <w:rsid w:val="00FB588D"/>
    <w:rsid w:val="00FE6C0C"/>
    <w:rsid w:val="02AB7139"/>
    <w:rsid w:val="03F948C9"/>
    <w:rsid w:val="04E343A7"/>
    <w:rsid w:val="04E8490D"/>
    <w:rsid w:val="06790A01"/>
    <w:rsid w:val="0A8202D6"/>
    <w:rsid w:val="0EB56D5E"/>
    <w:rsid w:val="15F031F3"/>
    <w:rsid w:val="164F7967"/>
    <w:rsid w:val="16D344AA"/>
    <w:rsid w:val="1D7D79EC"/>
    <w:rsid w:val="1DA219CE"/>
    <w:rsid w:val="1F682DFB"/>
    <w:rsid w:val="1FBC2247"/>
    <w:rsid w:val="221F5354"/>
    <w:rsid w:val="240A169F"/>
    <w:rsid w:val="25895171"/>
    <w:rsid w:val="2AB001A8"/>
    <w:rsid w:val="2E2049F5"/>
    <w:rsid w:val="301F0A75"/>
    <w:rsid w:val="3060588C"/>
    <w:rsid w:val="31B8289A"/>
    <w:rsid w:val="31CB0582"/>
    <w:rsid w:val="3254059A"/>
    <w:rsid w:val="37160D1C"/>
    <w:rsid w:val="3BBB4DF6"/>
    <w:rsid w:val="3C7604E4"/>
    <w:rsid w:val="3D0B5C36"/>
    <w:rsid w:val="3D440119"/>
    <w:rsid w:val="3FD72861"/>
    <w:rsid w:val="40FF197A"/>
    <w:rsid w:val="419963F3"/>
    <w:rsid w:val="41C160CD"/>
    <w:rsid w:val="456804F1"/>
    <w:rsid w:val="4648113F"/>
    <w:rsid w:val="46F45B38"/>
    <w:rsid w:val="47735098"/>
    <w:rsid w:val="4A0E3B24"/>
    <w:rsid w:val="4ABB39CC"/>
    <w:rsid w:val="4B5131C9"/>
    <w:rsid w:val="4B7F2F2D"/>
    <w:rsid w:val="4E316B5D"/>
    <w:rsid w:val="4F0F6F43"/>
    <w:rsid w:val="505E72BF"/>
    <w:rsid w:val="50697389"/>
    <w:rsid w:val="525741C4"/>
    <w:rsid w:val="59C1472F"/>
    <w:rsid w:val="5E910015"/>
    <w:rsid w:val="5F103157"/>
    <w:rsid w:val="60315426"/>
    <w:rsid w:val="621F43E9"/>
    <w:rsid w:val="64A237B2"/>
    <w:rsid w:val="65193FFA"/>
    <w:rsid w:val="66F33491"/>
    <w:rsid w:val="6B764481"/>
    <w:rsid w:val="6BCA0B67"/>
    <w:rsid w:val="6C542C7C"/>
    <w:rsid w:val="6CC00C00"/>
    <w:rsid w:val="73C331B2"/>
    <w:rsid w:val="748B0691"/>
    <w:rsid w:val="757F6FD7"/>
    <w:rsid w:val="75AA25D0"/>
    <w:rsid w:val="767C55E1"/>
    <w:rsid w:val="787D2CDB"/>
    <w:rsid w:val="79F536FA"/>
    <w:rsid w:val="7A436DC4"/>
    <w:rsid w:val="7B5E7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6"/>
    <w:autoRedefine/>
    <w:semiHidden/>
    <w:unhideWhenUsed/>
    <w:qFormat/>
    <w:uiPriority w:val="99"/>
    <w:pPr>
      <w:jc w:val="left"/>
    </w:pPr>
  </w:style>
  <w:style w:type="paragraph" w:styleId="3">
    <w:name w:val="Balloon Text"/>
    <w:basedOn w:val="1"/>
    <w:link w:val="15"/>
    <w:autoRedefine/>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7"/>
    <w:autoRedefine/>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annotation reference"/>
    <w:basedOn w:val="9"/>
    <w:autoRedefine/>
    <w:semiHidden/>
    <w:unhideWhenUsed/>
    <w:qFormat/>
    <w:uiPriority w:val="99"/>
    <w:rPr>
      <w:sz w:val="21"/>
      <w:szCs w:val="21"/>
    </w:rPr>
  </w:style>
  <w:style w:type="character" w:customStyle="1" w:styleId="12">
    <w:name w:val="页眉 Char"/>
    <w:basedOn w:val="9"/>
    <w:link w:val="5"/>
    <w:autoRedefine/>
    <w:qFormat/>
    <w:uiPriority w:val="99"/>
    <w:rPr>
      <w:sz w:val="18"/>
      <w:szCs w:val="18"/>
    </w:rPr>
  </w:style>
  <w:style w:type="character" w:customStyle="1" w:styleId="13">
    <w:name w:val="页脚 Char"/>
    <w:basedOn w:val="9"/>
    <w:link w:val="4"/>
    <w:autoRedefine/>
    <w:qFormat/>
    <w:uiPriority w:val="99"/>
    <w:rPr>
      <w:sz w:val="18"/>
      <w:szCs w:val="18"/>
    </w:rPr>
  </w:style>
  <w:style w:type="paragraph" w:customStyle="1" w:styleId="14">
    <w:name w:val="列出段落1"/>
    <w:basedOn w:val="1"/>
    <w:autoRedefine/>
    <w:qFormat/>
    <w:uiPriority w:val="99"/>
    <w:pPr>
      <w:ind w:firstLine="420" w:firstLineChars="200"/>
    </w:pPr>
    <w:rPr>
      <w:rFonts w:ascii="Times New Roman" w:hAnsi="Times New Roman"/>
      <w:szCs w:val="24"/>
    </w:rPr>
  </w:style>
  <w:style w:type="character" w:customStyle="1" w:styleId="15">
    <w:name w:val="批注框文本 Char"/>
    <w:basedOn w:val="9"/>
    <w:link w:val="3"/>
    <w:autoRedefine/>
    <w:semiHidden/>
    <w:qFormat/>
    <w:uiPriority w:val="99"/>
    <w:rPr>
      <w:rFonts w:ascii="Calibri" w:hAnsi="Calibri" w:eastAsia="宋体" w:cs="Times New Roman"/>
      <w:sz w:val="18"/>
      <w:szCs w:val="18"/>
    </w:rPr>
  </w:style>
  <w:style w:type="character" w:customStyle="1" w:styleId="16">
    <w:name w:val="批注文字 Char"/>
    <w:basedOn w:val="9"/>
    <w:link w:val="2"/>
    <w:autoRedefine/>
    <w:semiHidden/>
    <w:qFormat/>
    <w:uiPriority w:val="99"/>
    <w:rPr>
      <w:rFonts w:ascii="Calibri" w:hAnsi="Calibri" w:eastAsia="宋体" w:cs="Times New Roman"/>
      <w:kern w:val="2"/>
      <w:sz w:val="21"/>
      <w:szCs w:val="22"/>
    </w:rPr>
  </w:style>
  <w:style w:type="character" w:customStyle="1" w:styleId="17">
    <w:name w:val="批注主题 Char"/>
    <w:basedOn w:val="16"/>
    <w:link w:val="6"/>
    <w:autoRedefine/>
    <w:semiHidden/>
    <w:qFormat/>
    <w:uiPriority w:val="99"/>
    <w:rPr>
      <w:rFonts w:ascii="Calibri" w:hAnsi="Calibri" w:eastAsia="宋体" w:cs="Times New Roman"/>
      <w:b/>
      <w:bCs/>
      <w:kern w:val="2"/>
      <w:sz w:val="21"/>
      <w:szCs w:val="22"/>
    </w:rPr>
  </w:style>
  <w:style w:type="paragraph" w:styleId="18">
    <w:name w:val="List Paragraph"/>
    <w:basedOn w:val="1"/>
    <w:autoRedefine/>
    <w:qFormat/>
    <w:uiPriority w:val="99"/>
    <w:pPr>
      <w:ind w:firstLine="420" w:firstLineChars="200"/>
    </w:pPr>
  </w:style>
  <w:style w:type="paragraph" w:customStyle="1" w:styleId="19">
    <w:name w:val="正文 A"/>
    <w:autoRedefine/>
    <w:qFormat/>
    <w:uiPriority w:val="0"/>
    <w:pPr>
      <w:widowControl w:val="0"/>
      <w:jc w:val="both"/>
    </w:pPr>
    <w:rPr>
      <w:rFonts w:ascii="Calibri" w:hAnsi="Calibri" w:eastAsia="Calibri" w:cs="Calibri"/>
      <w:color w:val="000000"/>
      <w:kern w:val="2"/>
      <w:sz w:val="21"/>
      <w:szCs w:val="21"/>
      <w:lang w:val="en-US" w:eastAsia="zh-CN" w:bidi="ar-SA"/>
    </w:rPr>
  </w:style>
  <w:style w:type="paragraph" w:customStyle="1" w:styleId="20">
    <w:name w:val="Revision"/>
    <w:autoRedefine/>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2351A-FB96-4B37-9EA1-891831FAB66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3420</Words>
  <Characters>3512</Characters>
  <Lines>15</Lines>
  <Paragraphs>4</Paragraphs>
  <TotalTime>2</TotalTime>
  <ScaleCrop>false</ScaleCrop>
  <LinksUpToDate>false</LinksUpToDate>
  <CharactersWithSpaces>3671</CharactersWithSpaces>
  <Application>WPS Office_12.1.0.24034_F1E327BC-269C-435d-A152-05C5408002CA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2018-06-06T05:50:00Z</dcterms:created>
  <dc:creator>M</dc:creator>
  <cp:lastModifiedBy>合付宝</cp:lastModifiedBy>
  <cp:lastPrinted>2015-08-25T08:21:00Z</cp:lastPrinted>
  <dcterms:modified xsi:type="dcterms:W3CDTF">2025-12-18T03:54:39Z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BF3596A3AF5841E9A5582123ED204F27_13</vt:lpwstr>
  </property>
  <property fmtid="{D5CDD505-2E9C-101B-9397-08002B2CF9AE}" pid="4" name="KSOTemplateDocerSaveRecord">
    <vt:lpwstr>eyJoZGlkIjoiMjYxMTFmZjU0MTNhYTQ4Y2E1ODNlY2UxOTg3ZDhjZWMiLCJ1c2VySWQiOiIxMjg1ODY1NTMwIn0=</vt:lpwstr>
  </property>
</Properties>
</file>