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0A05B">
      <w:pPr>
        <w:widowControl/>
        <w:spacing w:before="100" w:beforeAutospacing="1" w:after="100" w:afterAutospacing="1"/>
        <w:jc w:val="center"/>
        <w:outlineLvl w:val="0"/>
        <w:rPr>
          <w:rFonts w:ascii="宋体" w:hAnsi="宋体" w:eastAsia="宋体" w:cs="宋体"/>
          <w:b/>
          <w:bCs/>
          <w:kern w:val="36"/>
          <w:sz w:val="36"/>
          <w:szCs w:val="36"/>
        </w:rPr>
      </w:pPr>
      <w:r>
        <w:rPr>
          <w:rFonts w:ascii="宋体" w:hAnsi="宋体" w:eastAsia="宋体" w:cs="宋体"/>
          <w:b/>
          <w:bCs/>
          <w:kern w:val="36"/>
          <w:sz w:val="36"/>
          <w:szCs w:val="36"/>
        </w:rPr>
        <w:t>灵活用工单人单月结算限额调整规则</w:t>
      </w:r>
    </w:p>
    <w:p w14:paraId="61C48DFC">
      <w:pPr>
        <w:widowControl/>
        <w:contextualSpacing/>
        <w:jc w:val="left"/>
        <w:outlineLvl w:val="0"/>
        <w:rPr>
          <w:rFonts w:ascii="宋体" w:hAnsi="宋体" w:eastAsia="宋体" w:cs="宋体"/>
          <w:kern w:val="36"/>
          <w:sz w:val="28"/>
          <w:szCs w:val="28"/>
        </w:rPr>
      </w:pPr>
      <w:r>
        <w:rPr>
          <w:rFonts w:ascii="宋体" w:hAnsi="宋体" w:eastAsia="宋体" w:cs="宋体"/>
          <w:b/>
          <w:bCs/>
          <w:kern w:val="36"/>
          <w:sz w:val="28"/>
          <w:szCs w:val="28"/>
        </w:rPr>
        <w:t>一、</w:t>
      </w:r>
      <w:r>
        <w:rPr>
          <w:rFonts w:ascii="宋体" w:hAnsi="宋体" w:eastAsia="宋体" w:cs="宋体"/>
          <w:kern w:val="36"/>
          <w:sz w:val="28"/>
          <w:szCs w:val="28"/>
        </w:rPr>
        <w:t>规则生效时间与适用范围</w:t>
      </w:r>
    </w:p>
    <w:p w14:paraId="4C87EEF6">
      <w:pPr>
        <w:widowControl/>
        <w:ind w:firstLine="560" w:firstLineChars="200"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本规则自2026年</w:t>
      </w:r>
      <w:r>
        <w:rPr>
          <w:rFonts w:hint="eastAsia" w:ascii="宋体" w:hAnsi="宋体" w:eastAsia="宋体" w:cs="宋体"/>
          <w:kern w:val="0"/>
          <w:sz w:val="28"/>
          <w:szCs w:val="28"/>
        </w:rPr>
        <w:t>5</w:t>
      </w:r>
      <w:r>
        <w:rPr>
          <w:rFonts w:ascii="宋体" w:hAnsi="宋体" w:eastAsia="宋体" w:cs="宋体"/>
          <w:kern w:val="0"/>
          <w:sz w:val="28"/>
          <w:szCs w:val="28"/>
        </w:rPr>
        <w:t>月1日起正式生效，适用范围涵盖我司所有合作存量商户、2026年4月1日及以后新入网签约商户，全品类灵活用</w:t>
      </w:r>
      <w:bookmarkStart w:id="0" w:name="_GoBack"/>
      <w:bookmarkEnd w:id="0"/>
      <w:r>
        <w:rPr>
          <w:rFonts w:ascii="宋体" w:hAnsi="宋体" w:eastAsia="宋体" w:cs="宋体"/>
          <w:kern w:val="0"/>
          <w:sz w:val="28"/>
          <w:szCs w:val="28"/>
        </w:rPr>
        <w:t>工业务均需遵照本规则执行，与此前发布的《灵活用工服务个人完工交付物提交规则》并行适用，共同作为商户业务结算、开票及权限管理的核心依据。</w:t>
      </w:r>
    </w:p>
    <w:p w14:paraId="15E73B38">
      <w:pPr>
        <w:widowControl/>
        <w:contextualSpacing/>
        <w:jc w:val="left"/>
        <w:outlineLvl w:val="0"/>
        <w:rPr>
          <w:rFonts w:ascii="宋体" w:hAnsi="宋体" w:eastAsia="宋体" w:cs="宋体"/>
          <w:kern w:val="36"/>
          <w:sz w:val="28"/>
          <w:szCs w:val="28"/>
        </w:rPr>
      </w:pPr>
      <w:r>
        <w:rPr>
          <w:rFonts w:ascii="宋体" w:hAnsi="宋体" w:eastAsia="宋体" w:cs="宋体"/>
          <w:kern w:val="36"/>
          <w:sz w:val="28"/>
          <w:szCs w:val="28"/>
        </w:rPr>
        <w:t>二、单人单月结算基础限额标准</w:t>
      </w:r>
    </w:p>
    <w:p w14:paraId="62D7A3BD">
      <w:pPr>
        <w:widowControl/>
        <w:ind w:firstLine="560" w:firstLineChars="200"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自2026年</w:t>
      </w:r>
      <w:r>
        <w:rPr>
          <w:rFonts w:hint="eastAsia" w:ascii="宋体" w:hAnsi="宋体" w:eastAsia="宋体" w:cs="宋体"/>
          <w:kern w:val="0"/>
          <w:sz w:val="28"/>
          <w:szCs w:val="28"/>
        </w:rPr>
        <w:t>5</w:t>
      </w:r>
      <w:r>
        <w:rPr>
          <w:rFonts w:ascii="宋体" w:hAnsi="宋体" w:eastAsia="宋体" w:cs="宋体"/>
          <w:kern w:val="0"/>
          <w:sz w:val="28"/>
          <w:szCs w:val="28"/>
        </w:rPr>
        <w:t>月1日起，统一调整灵活用工商户单人单月结算限额，执行3万元/人/月的基础限额标准：</w:t>
      </w:r>
    </w:p>
    <w:p w14:paraId="05B1860C">
      <w:pPr>
        <w:widowControl/>
        <w:numPr>
          <w:ilvl w:val="0"/>
          <w:numId w:val="1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单个灵活用工人员，在单一合作商户名下，单自然月内累计结算金额不得超过3万元，系统将默认按照该基础限额管控结算流程；</w:t>
      </w:r>
    </w:p>
    <w:p w14:paraId="06701B8E">
      <w:pPr>
        <w:widowControl/>
        <w:numPr>
          <w:ilvl w:val="0"/>
          <w:numId w:val="1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2026年4月1日起新入网的所有商户，直接启用该基础限额；</w:t>
      </w:r>
    </w:p>
    <w:p w14:paraId="15DDDBF9">
      <w:pPr>
        <w:widowControl/>
        <w:numPr>
          <w:ilvl w:val="0"/>
          <w:numId w:val="1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商户若因实际业务需求，需将单人单月限额提升至9.7万元/人/月及以上额度，必须通过我司专属审核流程，经审批通过后方可配置对应调高限额，未通过审核不得擅自突破基础限额结算。</w:t>
      </w:r>
    </w:p>
    <w:p w14:paraId="7B4C9A92">
      <w:pPr>
        <w:widowControl/>
        <w:contextualSpacing/>
        <w:jc w:val="left"/>
        <w:outlineLvl w:val="0"/>
        <w:rPr>
          <w:rFonts w:ascii="宋体" w:hAnsi="宋体" w:eastAsia="宋体" w:cs="宋体"/>
          <w:kern w:val="36"/>
          <w:sz w:val="28"/>
          <w:szCs w:val="28"/>
        </w:rPr>
      </w:pPr>
      <w:r>
        <w:rPr>
          <w:rFonts w:ascii="宋体" w:hAnsi="宋体" w:eastAsia="宋体" w:cs="宋体"/>
          <w:kern w:val="36"/>
          <w:sz w:val="28"/>
          <w:szCs w:val="28"/>
        </w:rPr>
        <w:t>三、限额调高审核流程与资料要求</w:t>
      </w:r>
    </w:p>
    <w:p w14:paraId="44D2DF4E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（一）调高限额适用条件</w:t>
      </w:r>
    </w:p>
    <w:p w14:paraId="68CD8E5F">
      <w:pPr>
        <w:widowControl/>
        <w:ind w:firstLine="560" w:firstLineChars="200"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商户因真实业务场景、合规用工需求，需将单人单月结算限额调整至9.7万元/人/月或更高额度的，可向我司提交限额调高申请，严禁无真实业务支撑的违规调高申请。</w:t>
      </w:r>
    </w:p>
    <w:p w14:paraId="30DBC6F4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（二）必备审核资料清单</w:t>
      </w:r>
    </w:p>
    <w:p w14:paraId="7A6C3C74">
      <w:pPr>
        <w:widowControl/>
        <w:ind w:firstLine="560" w:firstLineChars="200"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商户申请调高限额，需同步提交3人份完整真实佐证资料，每份资料均需贴合商户实际业务场景，包含两大核心内容，资料需真实可核验、与业务高度关联，严禁伪造、套用虚假资料：</w:t>
      </w:r>
    </w:p>
    <w:p w14:paraId="255828BA">
      <w:pPr>
        <w:widowControl/>
        <w:numPr>
          <w:ilvl w:val="0"/>
          <w:numId w:val="2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业务场景结算依据：清晰说明该商户针对灵活用工人员的结算标准、算法规则、报酬核算逻辑，明确收入构成与核算方式；</w:t>
      </w:r>
    </w:p>
    <w:p w14:paraId="421F2157">
      <w:pPr>
        <w:widowControl/>
        <w:numPr>
          <w:ilvl w:val="0"/>
          <w:numId w:val="2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完工交付物佐证：参照《灵活用工服务个人完工交付物提交规则》中对应行业要求，提供对应灵活用工人员的真实工作过程、工作成果佐证材料（照片、截图、签字/盖章文件等）。</w:t>
      </w:r>
    </w:p>
    <w:p w14:paraId="3F4EE22B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（三）审核通过后配置规则</w:t>
      </w:r>
    </w:p>
    <w:p w14:paraId="5047641C">
      <w:pPr>
        <w:widowControl/>
        <w:ind w:firstLine="560" w:firstLineChars="200"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提交资料经我司审核通过后，方可为该商户配置对应调高后的单人单月结算限额；审核未通过的，维持3万元/人/月基础限额不变，商户需补充完善资料后可重新提交申请。</w:t>
      </w:r>
    </w:p>
    <w:p w14:paraId="5DD873DE">
      <w:pPr>
        <w:widowControl/>
        <w:contextualSpacing/>
        <w:jc w:val="left"/>
        <w:outlineLvl w:val="0"/>
        <w:rPr>
          <w:rFonts w:ascii="宋体" w:hAnsi="宋体" w:eastAsia="宋体" w:cs="宋体"/>
          <w:kern w:val="36"/>
          <w:sz w:val="28"/>
          <w:szCs w:val="28"/>
        </w:rPr>
      </w:pPr>
      <w:r>
        <w:rPr>
          <w:rFonts w:ascii="宋体" w:hAnsi="宋体" w:eastAsia="宋体" w:cs="宋体"/>
          <w:kern w:val="36"/>
          <w:sz w:val="28"/>
          <w:szCs w:val="28"/>
        </w:rPr>
        <w:t>四、分行业结算依据示例（参照核心合作行业）</w:t>
      </w:r>
    </w:p>
    <w:p w14:paraId="53E1E27D">
      <w:pPr>
        <w:widowControl/>
        <w:ind w:firstLine="560" w:firstLineChars="200"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以下为各主流行业灵活用工人员结算依据示例，商户需按照自身实际业务算法如实填写，核心体现“结算标准+核算规则+金额逻辑”，贴合真实业务场景即可：</w:t>
      </w:r>
    </w:p>
    <w:p w14:paraId="1BBAC342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（一）房产营销行业</w:t>
      </w:r>
    </w:p>
    <w:p w14:paraId="66E17964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灵活用工岗位：兼职房产经纪人、拓客专员、带看专员</w:t>
      </w:r>
    </w:p>
    <w:p w14:paraId="72FAD6EE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结算依据（算法规则）：个人报酬按房屋成交面积与成交房款比例核算，无成交无对应报酬；100㎡以下户型，按房屋成交总价的0.5%结算佣金；100㎡以上户型，按房屋成交总价的0.7%-1%结算佣金，额外包含带看补助（单次带看50元，有效带看方可核算），单月报酬为佣金总额+带看补助合计，无其他虚假报酬构成。</w:t>
      </w:r>
    </w:p>
    <w:p w14:paraId="1C144DFE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（二）直播行业</w:t>
      </w:r>
    </w:p>
    <w:p w14:paraId="5200C18B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灵活用工岗位：兼职主播、直播助理</w:t>
      </w:r>
    </w:p>
    <w:p w14:paraId="020DDB26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结算依据（算法规则）：个人报酬由基础直播服务费+虚拟礼物分成构成；基础直播服务费按有效直播时长核算，时薪标准50-150元/小时；礼物分成按用户打赏虚拟礼物价值核算，其中跑车类礼物单份价值10-50元，主播分成比例40%，火箭类礼物单份价值100-200元，主播分成比例50%，单月报酬为时长服务费+礼物分成合计，无额外虚增收入。</w:t>
      </w:r>
    </w:p>
    <w:p w14:paraId="689CF8A0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（三）汽车金融行业</w:t>
      </w:r>
    </w:p>
    <w:p w14:paraId="68FAF854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灵活用工岗位：兼职贷款咨询顾问、车辆评估师</w:t>
      </w:r>
    </w:p>
    <w:p w14:paraId="7F159610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结算依据（算法规则）：咨询顾问报酬按有效咨询单+贷款转化单核算，有效咨询单100元/单，贷款转化成功单500元/单；车辆评估师按评估车辆台数核算，单台车辆评估费300元，高端车型额外上浮50-100元/台，单月报酬按实际完成有效业务量核算，无保底虚发报酬。</w:t>
      </w:r>
    </w:p>
    <w:p w14:paraId="7A2AE510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（四）营销推广行业</w:t>
      </w:r>
    </w:p>
    <w:p w14:paraId="5AA27D63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灵活用工岗位：兼职推广员、活动执行专员</w:t>
      </w:r>
    </w:p>
    <w:p w14:paraId="26B1326E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结算依据（算法规则）：推广员报酬按有效推广引流单+成交转化单核算，有效引流单10元/单，成交转化单50元/单，月度完成500单以上额外给予10%业绩奖励；活动执行专员按活动场次核算，单场活动800元，超出8小时工作时长按50元/小时补发补贴，单月报酬按实际工作量核算。</w:t>
      </w:r>
    </w:p>
    <w:p w14:paraId="76E87C46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（五）物流行业</w:t>
      </w:r>
    </w:p>
    <w:p w14:paraId="4FF49339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灵活用工岗位：兼职货运司机、快递派送员</w:t>
      </w:r>
    </w:p>
    <w:p w14:paraId="74C0CD0B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结算依据（算法规则）：货运司机按运输里程+货物重量核算，1.5元/公里，50元/吨，夜间运输额外补贴40元/小时；快递派送员按派送签收单量核算，3元/单，月度超1000单部分额外补贴0.5元/单，单月报酬按实际运输、派送工作量核算，与物流运单、签收记录完全匹配。</w:t>
      </w:r>
    </w:p>
    <w:p w14:paraId="238708F2">
      <w:pPr>
        <w:widowControl/>
        <w:contextualSpacing/>
        <w:jc w:val="left"/>
        <w:outlineLvl w:val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（六）信息技术/设计/咨询/生活服务行业</w:t>
      </w:r>
    </w:p>
    <w:p w14:paraId="0E6EFFC3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参照《灵活用工服务个人完工交付物提交规则》中对应行业结算逻辑，如实写明岗位核算标准：信息技术行业按项目工时/项目包核算，设计行业按作品件数/项目套数核算，咨询行业按咨询时长/项目个数核算，生活服务行业按服务单量/服务时长核算，明确单工时/单量/单项目的结算单价与合计规则即可。</w:t>
      </w:r>
    </w:p>
    <w:p w14:paraId="53569921">
      <w:pPr>
        <w:widowControl/>
        <w:contextualSpacing/>
        <w:jc w:val="left"/>
        <w:outlineLvl w:val="0"/>
        <w:rPr>
          <w:rFonts w:ascii="宋体" w:hAnsi="宋体" w:eastAsia="宋体" w:cs="宋体"/>
          <w:kern w:val="36"/>
          <w:sz w:val="28"/>
          <w:szCs w:val="28"/>
        </w:rPr>
      </w:pPr>
      <w:r>
        <w:rPr>
          <w:rFonts w:ascii="宋体" w:hAnsi="宋体" w:eastAsia="宋体" w:cs="宋体"/>
          <w:kern w:val="36"/>
          <w:sz w:val="28"/>
          <w:szCs w:val="28"/>
        </w:rPr>
        <w:t>五、大额结算人员抽查规则</w:t>
      </w:r>
    </w:p>
    <w:p w14:paraId="3C3D7728">
      <w:pPr>
        <w:widowControl/>
        <w:ind w:firstLine="560" w:firstLineChars="200"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为保障业务真实性、合规性，强化限额调高后监管管控，针对已通过调高限额审核的商户，执行不定期抽查机制：</w:t>
      </w:r>
    </w:p>
    <w:p w14:paraId="1D111027">
      <w:pPr>
        <w:widowControl/>
        <w:numPr>
          <w:ilvl w:val="0"/>
          <w:numId w:val="3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若商户单自然月内，单人单月结算金额超过3万元的灵活用工人员数量超过10人，我司将不定期按需抽取3-5人，要求商户补充提供对应人员的完整完工交付物佐证资料；</w:t>
      </w:r>
    </w:p>
    <w:p w14:paraId="32A55ABF">
      <w:pPr>
        <w:widowControl/>
        <w:numPr>
          <w:ilvl w:val="0"/>
          <w:numId w:val="3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商户需在接到抽查通知后3个工作日内提交合格资料，逾期未提交或资料不合格的，将暂停该商户限额调高权限，恢复3万元/人/月基础限额，直至资料核验通过。</w:t>
      </w:r>
    </w:p>
    <w:p w14:paraId="0C971C2B">
      <w:pPr>
        <w:widowControl/>
        <w:contextualSpacing/>
        <w:jc w:val="left"/>
        <w:outlineLvl w:val="0"/>
        <w:rPr>
          <w:rFonts w:ascii="宋体" w:hAnsi="宋体" w:eastAsia="宋体" w:cs="宋体"/>
          <w:kern w:val="36"/>
          <w:sz w:val="28"/>
          <w:szCs w:val="28"/>
        </w:rPr>
      </w:pPr>
      <w:r>
        <w:rPr>
          <w:rFonts w:ascii="宋体" w:hAnsi="宋体" w:eastAsia="宋体" w:cs="宋体"/>
          <w:kern w:val="36"/>
          <w:sz w:val="28"/>
          <w:szCs w:val="28"/>
        </w:rPr>
        <w:t>六、新老商户差异化执行规则</w:t>
      </w:r>
    </w:p>
    <w:p w14:paraId="1C205BBD">
      <w:pPr>
        <w:widowControl/>
        <w:numPr>
          <w:ilvl w:val="0"/>
          <w:numId w:val="4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2026年4月1日及以后新入网商户：直接执行3万元/人/月基础限额，如需调高限额，按照本规则第三条审核流程提交资料，审核通过后配置对应额度；</w:t>
      </w:r>
    </w:p>
    <w:p w14:paraId="70C96AF9">
      <w:pPr>
        <w:widowControl/>
        <w:numPr>
          <w:ilvl w:val="0"/>
          <w:numId w:val="4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2026年</w:t>
      </w:r>
      <w:r>
        <w:rPr>
          <w:rFonts w:hint="eastAsia" w:ascii="宋体" w:hAnsi="宋体" w:eastAsia="宋体" w:cs="宋体"/>
          <w:kern w:val="0"/>
          <w:sz w:val="28"/>
          <w:szCs w:val="28"/>
        </w:rPr>
        <w:t>4月1日前入网的</w:t>
      </w:r>
      <w:r>
        <w:rPr>
          <w:rFonts w:ascii="宋体" w:hAnsi="宋体" w:eastAsia="宋体" w:cs="宋体"/>
          <w:kern w:val="0"/>
          <w:sz w:val="28"/>
          <w:szCs w:val="28"/>
        </w:rPr>
        <w:t xml:space="preserve">存量老商户：     </w:t>
      </w:r>
    </w:p>
    <w:p w14:paraId="7A19D5E1">
      <w:pPr>
        <w:widowControl/>
        <w:numPr>
          <w:ilvl w:val="1"/>
          <w:numId w:val="4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默认自</w:t>
      </w:r>
      <w:r>
        <w:rPr>
          <w:rFonts w:hint="eastAsia" w:ascii="宋体" w:hAnsi="宋体" w:eastAsia="宋体" w:cs="宋体"/>
          <w:kern w:val="0"/>
          <w:sz w:val="28"/>
          <w:szCs w:val="28"/>
        </w:rPr>
        <w:t>5</w:t>
      </w:r>
      <w:r>
        <w:rPr>
          <w:rFonts w:ascii="宋体" w:hAnsi="宋体" w:eastAsia="宋体" w:cs="宋体"/>
          <w:kern w:val="0"/>
          <w:sz w:val="28"/>
          <w:szCs w:val="28"/>
        </w:rPr>
        <w:t>月1日起执行3万元/人/月基础限额；</w:t>
      </w:r>
    </w:p>
    <w:p w14:paraId="4C2F09A8">
      <w:pPr>
        <w:widowControl/>
        <w:numPr>
          <w:ilvl w:val="1"/>
          <w:numId w:val="4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若老商户需</w:t>
      </w:r>
      <w:r>
        <w:rPr>
          <w:rFonts w:hint="eastAsia" w:ascii="宋体" w:hAnsi="宋体" w:eastAsia="宋体" w:cs="宋体"/>
          <w:kern w:val="0"/>
          <w:sz w:val="28"/>
          <w:szCs w:val="28"/>
        </w:rPr>
        <w:t>保留/</w:t>
      </w:r>
      <w:r>
        <w:rPr>
          <w:rFonts w:ascii="宋体" w:hAnsi="宋体" w:eastAsia="宋体" w:cs="宋体"/>
          <w:kern w:val="0"/>
          <w:sz w:val="28"/>
          <w:szCs w:val="28"/>
        </w:rPr>
        <w:t>配置高于3万元的原有限额，必须在2026年</w:t>
      </w:r>
      <w:r>
        <w:rPr>
          <w:rFonts w:hint="eastAsia" w:ascii="宋体" w:hAnsi="宋体" w:eastAsia="宋体" w:cs="宋体"/>
          <w:kern w:val="0"/>
          <w:sz w:val="28"/>
          <w:szCs w:val="28"/>
        </w:rPr>
        <w:t>5</w:t>
      </w:r>
      <w:r>
        <w:rPr>
          <w:rFonts w:ascii="宋体" w:hAnsi="宋体" w:eastAsia="宋体" w:cs="宋体"/>
          <w:kern w:val="0"/>
          <w:sz w:val="28"/>
          <w:szCs w:val="28"/>
        </w:rPr>
        <w:t>月1日前完成信息收集与限额调高审核流程，审核通过后方可延续原有限额配置；</w:t>
      </w:r>
    </w:p>
    <w:p w14:paraId="439241AE">
      <w:pPr>
        <w:widowControl/>
        <w:numPr>
          <w:ilvl w:val="1"/>
          <w:numId w:val="4"/>
        </w:numPr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2026年</w:t>
      </w:r>
      <w:r>
        <w:rPr>
          <w:rFonts w:hint="eastAsia" w:ascii="宋体" w:hAnsi="宋体" w:eastAsia="宋体" w:cs="宋体"/>
          <w:kern w:val="0"/>
          <w:sz w:val="28"/>
          <w:szCs w:val="28"/>
        </w:rPr>
        <w:t>5</w:t>
      </w:r>
      <w:r>
        <w:rPr>
          <w:rFonts w:ascii="宋体" w:hAnsi="宋体" w:eastAsia="宋体" w:cs="宋体"/>
          <w:kern w:val="0"/>
          <w:sz w:val="28"/>
          <w:szCs w:val="28"/>
        </w:rPr>
        <w:t>月1日前未完成审核的存量老商户，一律按3万元/人/月基础限额执行，后续如需调高限额，按照新入网商户审核流程办理。</w:t>
      </w:r>
    </w:p>
    <w:p w14:paraId="5CEE8D45">
      <w:pPr>
        <w:widowControl/>
        <w:contextualSpacing/>
        <w:jc w:val="left"/>
        <w:outlineLvl w:val="0"/>
        <w:rPr>
          <w:rFonts w:ascii="宋体" w:hAnsi="宋体" w:eastAsia="宋体" w:cs="宋体"/>
          <w:kern w:val="36"/>
          <w:sz w:val="28"/>
          <w:szCs w:val="28"/>
        </w:rPr>
      </w:pPr>
      <w:r>
        <w:rPr>
          <w:rFonts w:ascii="宋体" w:hAnsi="宋体" w:eastAsia="宋体" w:cs="宋体"/>
          <w:kern w:val="36"/>
          <w:sz w:val="28"/>
          <w:szCs w:val="28"/>
        </w:rPr>
        <w:t>七、附则</w:t>
      </w:r>
    </w:p>
    <w:p w14:paraId="46AE80D5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1. 本规则所有条款与业务确认单、成果验收单、交付物提交规则具备同等约束力，商户需严格遵照执行；</w:t>
      </w:r>
    </w:p>
    <w:p w14:paraId="2F915361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2. 若商户提供虚假结算依据、伪造交付物资料申请调高限额，一经查实，立即关停商户灵活用工交易权限，取消所有限额调整资格，由此产生的合规风险与经济损失由商户自行承担；</w:t>
      </w:r>
    </w:p>
    <w:p w14:paraId="75388E92">
      <w:pPr>
        <w:widowControl/>
        <w:contextualSpacing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3. 未列明的特殊行业、特殊业务场景，可直接对接我司专属业务人员，确认个性化结算依据与资料提交要求。</w:t>
      </w:r>
    </w:p>
    <w:p w14:paraId="3FA9FF43">
      <w:pPr>
        <w:rPr>
          <w:rFonts w:ascii="宋体" w:hAnsi="宋体" w:eastAsia="宋体"/>
          <w:sz w:val="28"/>
          <w:szCs w:val="28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B90E71"/>
    <w:multiLevelType w:val="multilevel"/>
    <w:tmpl w:val="15B90E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82D7399"/>
    <w:multiLevelType w:val="multilevel"/>
    <w:tmpl w:val="282D739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EE409BE"/>
    <w:multiLevelType w:val="multilevel"/>
    <w:tmpl w:val="5EE409B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F853BCE"/>
    <w:multiLevelType w:val="multilevel"/>
    <w:tmpl w:val="5F853B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19"/>
    <w:rsid w:val="000E1004"/>
    <w:rsid w:val="001E5297"/>
    <w:rsid w:val="003511D8"/>
    <w:rsid w:val="004614FF"/>
    <w:rsid w:val="006A1825"/>
    <w:rsid w:val="006C44DC"/>
    <w:rsid w:val="008E677E"/>
    <w:rsid w:val="00970A61"/>
    <w:rsid w:val="00A73519"/>
    <w:rsid w:val="00B86F64"/>
    <w:rsid w:val="00BD18EF"/>
    <w:rsid w:val="00C34D59"/>
    <w:rsid w:val="00FA6F22"/>
    <w:rsid w:val="0AD3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5">
    <w:name w:val="Strong"/>
    <w:basedOn w:val="14"/>
    <w:qFormat/>
    <w:uiPriority w:val="22"/>
    <w:rPr>
      <w:b/>
      <w:bCs/>
    </w:rPr>
  </w:style>
  <w:style w:type="character" w:customStyle="1" w:styleId="16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4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4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4">
    <w:name w:val="ace-li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2455</Words>
  <Characters>2551</Characters>
  <Lines>18</Lines>
  <Paragraphs>5</Paragraphs>
  <TotalTime>137</TotalTime>
  <ScaleCrop>false</ScaleCrop>
  <LinksUpToDate>false</LinksUpToDate>
  <CharactersWithSpaces>2559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2026-03-17T01:54:00Z</dcterms:created>
  <dc:creator>杨帆</dc:creator>
  <cp:lastModifiedBy>王琦</cp:lastModifiedBy>
  <dcterms:modified xsi:type="dcterms:W3CDTF">2026-04-21T05:59:19Z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EB15B6F97D7C4670836A4D03A0F027EA_13</vt:lpwstr>
  </property>
</Properties>
</file>