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0E11">
      <w:pPr>
        <w:adjustRightInd w:val="0"/>
        <w:snapToGrid w:val="0"/>
        <w:spacing w:line="288" w:lineRule="auto"/>
        <w:jc w:val="center"/>
        <w:rPr>
          <w:rFonts w:hint="eastAsia" w:ascii="楷体" w:hAnsi="楷体" w:eastAsia="楷体" w:cs="楷体"/>
          <w:b/>
          <w:sz w:val="22"/>
        </w:rPr>
      </w:pPr>
    </w:p>
    <w:p w14:paraId="1D65F081">
      <w:pPr>
        <w:adjustRightInd w:val="0"/>
        <w:snapToGrid w:val="0"/>
        <w:spacing w:line="288" w:lineRule="auto"/>
        <w:jc w:val="center"/>
        <w:rPr>
          <w:rFonts w:hint="eastAsia" w:ascii="楷体" w:hAnsi="楷体" w:eastAsia="楷体" w:cs="楷体"/>
          <w:b/>
          <w:sz w:val="28"/>
          <w:szCs w:val="28"/>
        </w:rPr>
      </w:pPr>
      <w:r>
        <w:rPr>
          <w:rFonts w:hint="eastAsia" w:ascii="楷体" w:hAnsi="楷体" w:eastAsia="楷体" w:cs="楷体"/>
          <w:b/>
          <w:sz w:val="28"/>
          <w:szCs w:val="28"/>
        </w:rPr>
        <w:t>企业拓展合作协议4.0</w:t>
      </w:r>
    </w:p>
    <w:p w14:paraId="4BE84FDD">
      <w:pPr>
        <w:tabs>
          <w:tab w:val="left" w:pos="435"/>
        </w:tabs>
        <w:adjustRightInd w:val="0"/>
        <w:snapToGrid w:val="0"/>
        <w:spacing w:line="288" w:lineRule="auto"/>
        <w:jc w:val="right"/>
        <w:rPr>
          <w:rFonts w:hint="eastAsia" w:ascii="楷体" w:hAnsi="楷体" w:eastAsia="楷体" w:cs="楷体"/>
          <w:sz w:val="22"/>
          <w:u w:val="single"/>
        </w:rPr>
      </w:pPr>
      <w:r>
        <w:rPr>
          <w:rFonts w:hint="eastAsia" w:ascii="楷体" w:hAnsi="楷体" w:eastAsia="楷体" w:cs="楷体"/>
          <w:sz w:val="22"/>
        </w:rPr>
        <w:t xml:space="preserve"> 编号：</w:t>
      </w:r>
      <w:permStart w:id="0" w:edGrp="everyone"/>
      <w:r>
        <w:rPr>
          <w:rFonts w:hint="eastAsia" w:ascii="楷体" w:hAnsi="楷体" w:eastAsia="楷体" w:cs="楷体"/>
          <w:sz w:val="22"/>
          <w:u w:val="single"/>
        </w:rPr>
        <w:t xml:space="preserve"> </w:t>
      </w:r>
      <w:r>
        <w:rPr>
          <w:rFonts w:hint="eastAsia" w:eastAsia="等线"/>
          <w:u w:val="single"/>
          <w:lang w:val="en-US" w:eastAsia="zh-CN"/>
        </w:rPr>
        <w:t xml:space="preserve"> </w:t>
      </w:r>
      <w:r>
        <w:rPr>
          <w:rFonts w:hint="eastAsia" w:ascii="楷体" w:hAnsi="楷体" w:eastAsia="楷体" w:cs="楷体"/>
          <w:sz w:val="22"/>
          <w:u w:val="single"/>
        </w:rPr>
        <w:t>_</w:t>
      </w:r>
      <w:permEnd w:id="0"/>
    </w:p>
    <w:p w14:paraId="701F2B5D">
      <w:pPr>
        <w:tabs>
          <w:tab w:val="left" w:pos="435"/>
        </w:tabs>
        <w:adjustRightInd w:val="0"/>
        <w:snapToGrid w:val="0"/>
        <w:spacing w:before="156" w:beforeLines="50" w:line="288" w:lineRule="auto"/>
        <w:rPr>
          <w:rFonts w:hint="eastAsia" w:ascii="楷体" w:hAnsi="楷体" w:eastAsia="楷体" w:cs="楷体"/>
          <w:b/>
          <w:sz w:val="22"/>
        </w:rPr>
      </w:pPr>
    </w:p>
    <w:p w14:paraId="20AC8C87">
      <w:pPr>
        <w:tabs>
          <w:tab w:val="left" w:pos="435"/>
        </w:tabs>
        <w:adjustRightInd w:val="0"/>
        <w:snapToGrid w:val="0"/>
        <w:spacing w:before="156" w:beforeLines="50" w:line="288" w:lineRule="auto"/>
        <w:rPr>
          <w:rFonts w:hint="eastAsia" w:ascii="楷体" w:hAnsi="楷体" w:eastAsia="楷体" w:cs="楷体"/>
          <w:b/>
          <w:sz w:val="22"/>
        </w:rPr>
      </w:pPr>
      <w:r>
        <w:rPr>
          <w:rFonts w:hint="eastAsia" w:ascii="楷体" w:hAnsi="楷体" w:eastAsia="楷体" w:cs="楷体"/>
          <w:b/>
          <w:sz w:val="22"/>
        </w:rPr>
        <w:t>甲方：</w:t>
      </w:r>
      <w:permStart w:id="1" w:edGrp="everyone"/>
      <w:r>
        <w:rPr>
          <w:rFonts w:hint="eastAsia" w:ascii="楷体" w:hAnsi="楷体" w:eastAsia="楷体" w:cs="楷体"/>
          <w:b/>
          <w:sz w:val="22"/>
          <w:lang w:val="en-US" w:eastAsia="zh-CN"/>
        </w:rPr>
        <w:t xml:space="preserve">   </w:t>
      </w:r>
      <w:permEnd w:id="1"/>
    </w:p>
    <w:p w14:paraId="62E1A3B5">
      <w:pPr>
        <w:tabs>
          <w:tab w:val="left" w:pos="435"/>
        </w:tabs>
        <w:adjustRightInd w:val="0"/>
        <w:snapToGrid w:val="0"/>
        <w:spacing w:before="156" w:beforeLines="50" w:line="288" w:lineRule="auto"/>
        <w:rPr>
          <w:rFonts w:hint="eastAsia" w:ascii="楷体" w:hAnsi="楷体" w:eastAsia="楷体" w:cs="楷体"/>
          <w:b/>
          <w:sz w:val="22"/>
        </w:rPr>
      </w:pPr>
      <w:r>
        <w:rPr>
          <w:rFonts w:hint="eastAsia" w:ascii="楷体" w:hAnsi="楷体" w:eastAsia="楷体" w:cs="楷体"/>
          <w:b/>
          <w:sz w:val="22"/>
        </w:rPr>
        <w:t>乙方：</w:t>
      </w:r>
      <w:permStart w:id="2" w:edGrp="everyone"/>
      <w:r>
        <w:rPr>
          <w:rFonts w:hint="eastAsia" w:ascii="楷体" w:hAnsi="楷体" w:eastAsia="楷体" w:cs="楷体"/>
          <w:b/>
          <w:sz w:val="22"/>
        </w:rPr>
        <w:t xml:space="preserve"> </w:t>
      </w:r>
      <w:r>
        <w:rPr>
          <w:rFonts w:hint="eastAsia" w:ascii="宋体" w:hAnsi="宋体" w:eastAsia="Arial Unicode MS" w:cs="宋体"/>
          <w:b/>
          <w:bCs/>
          <w:color w:val="000000"/>
          <w:kern w:val="0"/>
          <w:sz w:val="21"/>
          <w:szCs w:val="21"/>
          <w:u w:val="none" w:color="auto"/>
          <w:lang w:val="en-US" w:eastAsia="zh-CN" w:bidi="ar-SA"/>
        </w:rPr>
        <w:t xml:space="preserve"> </w:t>
      </w:r>
    </w:p>
    <w:permEnd w:id="2"/>
    <w:p w14:paraId="64BEDAAD">
      <w:pPr>
        <w:tabs>
          <w:tab w:val="left" w:pos="435"/>
        </w:tabs>
        <w:adjustRightInd w:val="0"/>
        <w:snapToGrid w:val="0"/>
        <w:spacing w:before="156" w:beforeLines="50" w:line="288" w:lineRule="auto"/>
        <w:rPr>
          <w:rFonts w:hint="eastAsia" w:ascii="楷体" w:hAnsi="楷体" w:eastAsia="楷体" w:cs="楷体"/>
          <w:b/>
          <w:sz w:val="22"/>
        </w:rPr>
      </w:pPr>
    </w:p>
    <w:p w14:paraId="759FF3D3">
      <w:pPr>
        <w:tabs>
          <w:tab w:val="left" w:pos="435"/>
        </w:tabs>
        <w:adjustRightInd w:val="0"/>
        <w:snapToGrid w:val="0"/>
        <w:spacing w:before="156" w:beforeLines="50"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甲乙双方本着互惠互利、长期合作、共同发展的原则，经过友好协商，就乙方为甲方拓展推广合付宝及相关平台产品及服务，达成以下协议，以资双方共同遵守。</w:t>
      </w:r>
    </w:p>
    <w:p w14:paraId="69B91B8A">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声明及保证</w:t>
      </w:r>
    </w:p>
    <w:p w14:paraId="3B49C377">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（一）</w:t>
      </w:r>
      <w:r>
        <w:rPr>
          <w:rFonts w:hint="eastAsia" w:ascii="楷体" w:hAnsi="楷体" w:eastAsia="楷体" w:cs="楷体"/>
          <w:bCs/>
          <w:sz w:val="22"/>
        </w:rPr>
        <w:t>甲方指具有税收代申报资质或得到相应税务部门授权可以进行税收代申报服务的企业（会在协议</w:t>
      </w:r>
      <w:r>
        <w:rPr>
          <w:rFonts w:hint="eastAsia" w:ascii="楷体" w:hAnsi="楷体" w:eastAsia="楷体" w:cs="楷体"/>
          <w:bCs/>
          <w:sz w:val="22"/>
          <w:lang w:val="en-US" w:eastAsia="zh-CN"/>
        </w:rPr>
        <w:t>或</w:t>
      </w:r>
      <w:r>
        <w:rPr>
          <w:rFonts w:hint="eastAsia" w:ascii="楷体" w:hAnsi="楷体" w:eastAsia="楷体" w:cs="楷体"/>
          <w:bCs/>
          <w:sz w:val="22"/>
        </w:rPr>
        <w:t>网站中列明，会有一定变化）委托，为企业提供业务服务并为上述企业拓展市场，推广产品等。</w:t>
      </w:r>
    </w:p>
    <w:p w14:paraId="58BEC2BF">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（二）乙方为一家依法设立并合法存续的企业或是个人，有权签署并有能力履行本协议。</w:t>
      </w:r>
    </w:p>
    <w:p w14:paraId="0A4981A4">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（三）乙方为企业的，为签署本协议所需的内部授权程序均已完成，乙方为自然人的，应为本人签署。本协议签署生效后即对协议双方具有法律约束力。</w:t>
      </w:r>
    </w:p>
    <w:p w14:paraId="3273097C">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产品介绍</w:t>
      </w:r>
    </w:p>
    <w:p w14:paraId="345743D4">
      <w:pPr>
        <w:numPr>
          <w:ilvl w:val="0"/>
          <w:numId w:val="2"/>
        </w:num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甲方授权乙方推广和拓展合付宝及相关平台的服务产品，为企业客户提供合法合规的灵活用工综合服务解决方案。甲方或其合作方将依据《中华人民共和国个人所得税法》及相关税收法规，为通过平台获取报酬的自由职业者办理个人所得税（按连续劳务）预扣预缴申报，并为企业提供相应的灵工人员佣金结算与申报服务。</w:t>
      </w:r>
    </w:p>
    <w:p w14:paraId="2BCACE15">
      <w:pPr>
        <w:numPr>
          <w:ilvl w:val="0"/>
          <w:numId w:val="2"/>
        </w:num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甲方产品类型及甲方指定费率在本协议中约定，乙方可以选择拓展推广其中一种或多种产品。</w:t>
      </w:r>
    </w:p>
    <w:p w14:paraId="7C074DEF">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合作原则</w:t>
      </w:r>
    </w:p>
    <w:p w14:paraId="3FF31DC7">
      <w:pPr>
        <w:adjustRightInd w:val="0"/>
        <w:snapToGrid w:val="0"/>
        <w:spacing w:before="156" w:beforeLines="50"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乙方在推广甲方产品的过程中，应合理进行拓展和推广，积极开发优质品牌客户，按甲方的拓展管理规定拓展业务，不得以任何形式损害甲方声誉和利益。</w:t>
      </w:r>
    </w:p>
    <w:p w14:paraId="5F2F9F4B">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推广管理</w:t>
      </w:r>
    </w:p>
    <w:p w14:paraId="5628501C">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乙方应向甲方出示有效的资质证明文件，包括但不限于营业执照、特殊行业许可证（如果属于）以及法定代表人身份证、个体户或个人须提供执照或身份证，并将上述文件的复印件加盖公章或签字后提交甲方。</w:t>
      </w:r>
    </w:p>
    <w:p w14:paraId="6F984982">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（二）乙方应按甲方的管理要求进行产品知</w:t>
      </w:r>
      <w:r>
        <w:rPr>
          <w:rFonts w:hint="eastAsia" w:ascii="楷体" w:hAnsi="楷体" w:eastAsia="楷体" w:cs="楷体"/>
          <w:color w:val="000000"/>
          <w:sz w:val="22"/>
        </w:rPr>
        <w:t>识培训、工作沟通、拓展业务考核等工作。</w:t>
      </w:r>
    </w:p>
    <w:p w14:paraId="3E0398D3">
      <w:pPr>
        <w:pStyle w:val="16"/>
        <w:adjustRightInd w:val="0"/>
        <w:snapToGrid w:val="0"/>
        <w:spacing w:before="156" w:beforeLines="50" w:line="288" w:lineRule="auto"/>
        <w:ind w:firstLine="330" w:firstLineChars="150"/>
        <w:jc w:val="left"/>
        <w:rPr>
          <w:rFonts w:hint="eastAsia" w:ascii="楷体" w:hAnsi="楷体" w:eastAsia="楷体" w:cs="楷体"/>
          <w:color w:val="000000"/>
          <w:sz w:val="22"/>
          <w:szCs w:val="22"/>
        </w:rPr>
      </w:pPr>
      <w:r>
        <w:rPr>
          <w:rFonts w:hint="eastAsia" w:ascii="楷体" w:hAnsi="楷体" w:eastAsia="楷体" w:cs="楷体"/>
          <w:color w:val="000000"/>
          <w:sz w:val="22"/>
          <w:szCs w:val="22"/>
        </w:rPr>
        <w:t>（三）对乙方发展签约企业的要求</w:t>
      </w:r>
    </w:p>
    <w:p w14:paraId="39B582CC">
      <w:pPr>
        <w:pStyle w:val="16"/>
        <w:adjustRightInd w:val="0"/>
        <w:snapToGrid w:val="0"/>
        <w:spacing w:before="156" w:beforeLines="50" w:line="288" w:lineRule="auto"/>
        <w:ind w:firstLine="440" w:firstLineChars="200"/>
        <w:rPr>
          <w:rFonts w:hint="eastAsia" w:ascii="楷体" w:hAnsi="楷体" w:eastAsia="楷体" w:cs="楷体"/>
          <w:color w:val="000000"/>
          <w:sz w:val="22"/>
          <w:szCs w:val="22"/>
        </w:rPr>
      </w:pPr>
      <w:r>
        <w:rPr>
          <w:rFonts w:hint="eastAsia" w:ascii="楷体" w:hAnsi="楷体" w:eastAsia="楷体" w:cs="楷体"/>
          <w:color w:val="000000"/>
          <w:sz w:val="22"/>
          <w:szCs w:val="22"/>
        </w:rPr>
        <w:t>1、乙方发展的所有企业需符合甲方企业入网资质，并直接与甲方</w:t>
      </w:r>
      <w:bookmarkStart w:id="0" w:name="_Hlk84944779"/>
      <w:r>
        <w:rPr>
          <w:rFonts w:hint="eastAsia" w:ascii="楷体" w:hAnsi="楷体" w:eastAsia="楷体" w:cs="楷体"/>
          <w:color w:val="000000"/>
          <w:sz w:val="22"/>
          <w:szCs w:val="22"/>
        </w:rPr>
        <w:t>或与甲方合作的相应代办企业</w:t>
      </w:r>
      <w:bookmarkEnd w:id="0"/>
      <w:r>
        <w:rPr>
          <w:rFonts w:hint="eastAsia" w:ascii="楷体" w:hAnsi="楷体" w:eastAsia="楷体" w:cs="楷体"/>
          <w:color w:val="000000"/>
          <w:sz w:val="22"/>
          <w:szCs w:val="22"/>
        </w:rPr>
        <w:t>签订协议；</w:t>
      </w:r>
    </w:p>
    <w:p w14:paraId="54AB4F09">
      <w:pPr>
        <w:pStyle w:val="16"/>
        <w:adjustRightInd w:val="0"/>
        <w:snapToGrid w:val="0"/>
        <w:spacing w:before="156" w:beforeLines="50" w:line="288" w:lineRule="auto"/>
        <w:ind w:firstLine="440" w:firstLineChars="200"/>
        <w:rPr>
          <w:rFonts w:hint="eastAsia" w:ascii="楷体" w:hAnsi="楷体" w:eastAsia="楷体" w:cs="楷体"/>
          <w:color w:val="000000"/>
          <w:sz w:val="22"/>
          <w:szCs w:val="22"/>
        </w:rPr>
      </w:pPr>
      <w:r>
        <w:rPr>
          <w:rFonts w:hint="eastAsia" w:ascii="楷体" w:hAnsi="楷体" w:eastAsia="楷体" w:cs="楷体"/>
          <w:color w:val="000000"/>
          <w:sz w:val="22"/>
          <w:szCs w:val="22"/>
        </w:rPr>
        <w:t>2、乙方发展的企业所有交易由甲方或与甲方合作的相应代办企业直接结算给企业或企业会员，不经由乙方做二次清分；</w:t>
      </w:r>
    </w:p>
    <w:p w14:paraId="6D315667">
      <w:pPr>
        <w:pStyle w:val="16"/>
        <w:adjustRightInd w:val="0"/>
        <w:snapToGrid w:val="0"/>
        <w:spacing w:before="156" w:beforeLines="50" w:line="288" w:lineRule="auto"/>
        <w:ind w:firstLine="440" w:firstLineChars="200"/>
        <w:rPr>
          <w:rFonts w:hint="eastAsia" w:ascii="楷体" w:hAnsi="楷体" w:eastAsia="楷体" w:cs="楷体"/>
          <w:color w:val="000000"/>
          <w:sz w:val="22"/>
          <w:szCs w:val="22"/>
        </w:rPr>
      </w:pPr>
      <w:r>
        <w:rPr>
          <w:rFonts w:hint="eastAsia" w:ascii="楷体" w:hAnsi="楷体" w:eastAsia="楷体" w:cs="楷体"/>
          <w:color w:val="000000"/>
          <w:sz w:val="22"/>
          <w:szCs w:val="22"/>
        </w:rPr>
        <w:t>3、乙方发展的企业的相关资格等规定由甲方统一制定，乙方无权制定；</w:t>
      </w:r>
    </w:p>
    <w:p w14:paraId="37277567">
      <w:pPr>
        <w:adjustRightInd w:val="0"/>
        <w:snapToGrid w:val="0"/>
        <w:spacing w:before="156" w:beforeLines="50" w:line="288" w:lineRule="auto"/>
        <w:ind w:left="0" w:leftChars="0" w:firstLine="440" w:firstLineChars="200"/>
        <w:rPr>
          <w:rFonts w:hint="eastAsia" w:ascii="楷体" w:hAnsi="楷体" w:eastAsia="楷体" w:cs="楷体"/>
          <w:color w:val="000000"/>
          <w:sz w:val="22"/>
        </w:rPr>
      </w:pPr>
      <w:r>
        <w:rPr>
          <w:rFonts w:hint="eastAsia" w:ascii="楷体" w:hAnsi="楷体" w:eastAsia="楷体" w:cs="楷体"/>
          <w:color w:val="000000"/>
          <w:sz w:val="22"/>
        </w:rPr>
        <w:t>4、乙方保证其发展的入驻企业所有经营活动完全符合中国有关法律、法规、行政规章等及甲方或与甲方合作的相应代办企业管理规定。</w:t>
      </w:r>
    </w:p>
    <w:p w14:paraId="1A16F46E">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（四）禁入企业类型</w:t>
      </w:r>
    </w:p>
    <w:p w14:paraId="7450F50C">
      <w:pPr>
        <w:adjustRightInd w:val="0"/>
        <w:snapToGrid w:val="0"/>
        <w:spacing w:before="156" w:beforeLines="50"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与我国法律、法规和规章相抵触的行业企业，包括但不限于赌博及博彩类、色情服务类、出售违禁药品、毒品、黄色出版物和军火弹药类。</w:t>
      </w:r>
    </w:p>
    <w:p w14:paraId="159FB6AE">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（五）乙方应按照甲方的要求对发展企业的履约情况和业务动态进行监督和检查，如发现发展企业业务有违反国家法律、法规、政策的行为，应及时向甲方履行告知义务并根据甲方要求配合处理相关事</w:t>
      </w:r>
      <w:r>
        <w:rPr>
          <w:rFonts w:hint="eastAsia" w:ascii="楷体" w:hAnsi="楷体" w:eastAsia="楷体" w:cs="楷体"/>
          <w:color w:val="000000" w:themeColor="text1"/>
          <w:sz w:val="22"/>
          <w14:textFill>
            <w14:solidFill>
              <w14:schemeClr w14:val="tx1"/>
            </w14:solidFill>
          </w14:textFill>
        </w:rPr>
        <w:t>宜,乙方发展企业如存在违法、违规或违约行为，上述交易行为所产生的分润，甲方有权不向乙方结算。</w:t>
      </w:r>
    </w:p>
    <w:p w14:paraId="7E32E52A">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（六）乙方拓展企业如出现风险交易，如甲方不能联系到企业，则乙方有义务协助甲方3日内联系到该企业。</w:t>
      </w:r>
    </w:p>
    <w:p w14:paraId="0A1137EE">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（七）乙方不得以甲方“总代理”等具有垄断性、排他性的名义或其他引人误解的名义（如子公司、关联公司等）进行宣传。</w:t>
      </w:r>
    </w:p>
    <w:p w14:paraId="50C8044A">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（八）乙方不得擅自发展下级推广。</w:t>
      </w:r>
    </w:p>
    <w:p w14:paraId="6201880D">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推广权限</w:t>
      </w:r>
    </w:p>
    <w:p w14:paraId="12C93DDA">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（一）甲方授权乙方为非独家乙方，乙方可在全国范围内自行针对潜在客户拓展甲方产品。</w:t>
      </w:r>
    </w:p>
    <w:p w14:paraId="47A6FF21">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（二）乙方应优先拓展甲方产品，不得利用其他同类产品或关联产品损害甲方权益。</w:t>
      </w:r>
    </w:p>
    <w:p w14:paraId="1864CF1D">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（三）乙方可以根据实际情况制订拓展计划，原则上甲方不予干涉，但乙方应对其拓展行为承担责任。</w:t>
      </w:r>
    </w:p>
    <w:p w14:paraId="179B6EC4">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佣金结算</w:t>
      </w:r>
    </w:p>
    <w:p w14:paraId="04CA9864">
      <w:pPr>
        <w:pStyle w:val="21"/>
        <w:numPr>
          <w:ilvl w:val="0"/>
          <w:numId w:val="3"/>
        </w:numPr>
        <w:spacing w:line="288" w:lineRule="auto"/>
        <w:ind w:firstLine="440" w:firstLineChars="200"/>
        <w:rPr>
          <w:rFonts w:hint="eastAsia" w:ascii="楷体" w:hAnsi="楷体" w:eastAsia="楷体" w:cs="楷体"/>
          <w:sz w:val="22"/>
        </w:rPr>
      </w:pPr>
      <w:r>
        <w:rPr>
          <w:rFonts w:hint="eastAsia" w:ascii="楷体" w:hAnsi="楷体" w:eastAsia="楷体" w:cs="楷体"/>
          <w:sz w:val="22"/>
        </w:rPr>
        <w:t>结算要求及价格：</w:t>
      </w:r>
    </w:p>
    <w:p w14:paraId="1CCB9442">
      <w:pPr>
        <w:adjustRightInd w:val="0"/>
        <w:snapToGrid w:val="0"/>
        <w:spacing w:before="156" w:beforeLines="50" w:line="288" w:lineRule="auto"/>
        <w:ind w:firstLine="440" w:firstLineChars="200"/>
        <w:jc w:val="left"/>
        <w:textAlignment w:val="baseline"/>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sz w:val="22"/>
        </w:rPr>
        <w:t>1.乙方理解并同意，各主管税务机关授予甲方合作方、关联方及其他分支机构的委托代办相关事宜，包括但不限于现有合作的机构，各地主管税务机关的具体规定可能不一致。同时，</w:t>
      </w:r>
      <w:r>
        <w:rPr>
          <w:rFonts w:hint="eastAsia" w:ascii="楷体" w:hAnsi="楷体" w:eastAsia="楷体" w:cs="楷体"/>
          <w:sz w:val="22"/>
        </w:rPr>
        <w:t>如因国家及地方政策变化导致甲方公司价格体系及机制发生变化的，</w:t>
      </w:r>
      <w:r>
        <w:rPr>
          <w:rFonts w:hint="eastAsia" w:ascii="楷体" w:hAnsi="楷体" w:eastAsia="楷体" w:cs="楷体"/>
          <w:color w:val="000000"/>
          <w:sz w:val="22"/>
        </w:rPr>
        <w:t>甲方合作方、关联方及其他分支机构</w:t>
      </w:r>
      <w:r>
        <w:rPr>
          <w:rFonts w:hint="eastAsia" w:ascii="楷体" w:hAnsi="楷体" w:eastAsia="楷体" w:cs="楷体"/>
          <w:sz w:val="22"/>
        </w:rPr>
        <w:t>有权就实际变更的价格体系及机制随时以微信、邮件等方式通知乙方，乙方与甲方就变更协商与确认后，应接受按照甲方公司新制定的价格体系及机制进行核算。</w:t>
      </w:r>
    </w:p>
    <w:p w14:paraId="19CBC6E0">
      <w:pPr>
        <w:adjustRightInd w:val="0"/>
        <w:snapToGrid w:val="0"/>
        <w:spacing w:before="156" w:beforeLines="50" w:line="288" w:lineRule="auto"/>
        <w:ind w:firstLine="440" w:firstLineChars="200"/>
        <w:jc w:val="left"/>
        <w:textAlignment w:val="baseline"/>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2.</w:t>
      </w:r>
      <w:r>
        <w:rPr>
          <w:rFonts w:hint="eastAsia" w:ascii="楷体" w:hAnsi="楷体" w:eastAsia="楷体" w:cs="楷体"/>
          <w:color w:val="000000" w:themeColor="text1"/>
          <w:sz w:val="22"/>
          <w:lang w:eastAsia="zh-Hans"/>
          <w14:textFill>
            <w14:solidFill>
              <w14:schemeClr w14:val="tx1"/>
            </w14:solidFill>
          </w14:textFill>
        </w:rPr>
        <w:t>乙方为甲方推广客户，根据客户委托甲方合作方、关联方及其他分支机构为自由职业者提供共享经济综合服务所结算的累计交易规模确认给予乙方</w:t>
      </w:r>
      <w:r>
        <w:rPr>
          <w:rFonts w:hint="eastAsia" w:ascii="楷体" w:hAnsi="楷体" w:eastAsia="楷体" w:cs="楷体"/>
          <w:color w:val="000000" w:themeColor="text1"/>
          <w:sz w:val="22"/>
          <w14:textFill>
            <w14:solidFill>
              <w14:schemeClr w14:val="tx1"/>
            </w14:solidFill>
          </w14:textFill>
        </w:rPr>
        <w:t>的渠道价格详见甲方后台的“企业信息”。其中受政策影响，</w:t>
      </w:r>
      <w:r>
        <w:rPr>
          <w:rFonts w:hint="eastAsia" w:ascii="楷体" w:hAnsi="楷体" w:eastAsia="楷体" w:cs="楷体"/>
          <w:color w:val="000000" w:themeColor="text1"/>
          <w:sz w:val="22"/>
          <w:lang w:eastAsia="zh-Hans"/>
          <w14:textFill>
            <w14:solidFill>
              <w14:schemeClr w14:val="tx1"/>
            </w14:solidFill>
          </w14:textFill>
        </w:rPr>
        <w:t>甲方</w:t>
      </w:r>
      <w:r>
        <w:rPr>
          <w:rFonts w:hint="eastAsia" w:ascii="楷体" w:hAnsi="楷体" w:eastAsia="楷体" w:cs="楷体"/>
          <w:color w:val="000000" w:themeColor="text1"/>
          <w:sz w:val="22"/>
          <w14:textFill>
            <w14:solidFill>
              <w14:schemeClr w14:val="tx1"/>
            </w14:solidFill>
          </w14:textFill>
        </w:rPr>
        <w:t>部分</w:t>
      </w:r>
      <w:r>
        <w:rPr>
          <w:rFonts w:hint="eastAsia" w:ascii="楷体" w:hAnsi="楷体" w:eastAsia="楷体" w:cs="楷体"/>
          <w:color w:val="000000" w:themeColor="text1"/>
          <w:sz w:val="22"/>
          <w:lang w:eastAsia="zh-Hans"/>
          <w14:textFill>
            <w14:solidFill>
              <w14:schemeClr w14:val="tx1"/>
            </w14:solidFill>
          </w14:textFill>
        </w:rPr>
        <w:t>合作方、关联方及其他分支机构</w:t>
      </w:r>
      <w:r>
        <w:rPr>
          <w:rFonts w:hint="eastAsia" w:ascii="楷体" w:hAnsi="楷体" w:eastAsia="楷体" w:cs="楷体"/>
          <w:color w:val="000000" w:themeColor="text1"/>
          <w:sz w:val="22"/>
          <w14:textFill>
            <w14:solidFill>
              <w14:schemeClr w14:val="tx1"/>
            </w14:solidFill>
          </w14:textFill>
        </w:rPr>
        <w:t>（名单具体以对接微信群内/邮件通知为准）将在政府财政奖励返还后按对应结算费率结算乙方推广分润，若因国家及地方政策调整，导致甲方部分</w:t>
      </w:r>
      <w:r>
        <w:rPr>
          <w:rFonts w:hint="eastAsia" w:ascii="楷体" w:hAnsi="楷体" w:eastAsia="楷体" w:cs="楷体"/>
          <w:color w:val="000000" w:themeColor="text1"/>
          <w:sz w:val="22"/>
          <w:lang w:eastAsia="zh-Hans"/>
          <w14:textFill>
            <w14:solidFill>
              <w14:schemeClr w14:val="tx1"/>
            </w14:solidFill>
          </w14:textFill>
        </w:rPr>
        <w:t>合作方、关联方</w:t>
      </w:r>
      <w:r>
        <w:rPr>
          <w:rFonts w:hint="eastAsia" w:ascii="楷体" w:hAnsi="楷体" w:eastAsia="楷体" w:cs="楷体"/>
          <w:color w:val="000000" w:themeColor="text1"/>
          <w:sz w:val="22"/>
          <w14:textFill>
            <w14:solidFill>
              <w14:schemeClr w14:val="tx1"/>
            </w14:solidFill>
          </w14:textFill>
        </w:rPr>
        <w:t>无法获得或无法足额获得政府财政奖励/返还，甲方需及时通知乙方，甲方对此不承担违约责任，无需支付对应推广服务费。</w:t>
      </w:r>
    </w:p>
    <w:p w14:paraId="6E7BA915">
      <w:pPr>
        <w:pStyle w:val="21"/>
        <w:numPr>
          <w:ilvl w:val="255"/>
          <w:numId w:val="0"/>
        </w:numPr>
        <w:spacing w:line="288" w:lineRule="auto"/>
        <w:ind w:firstLine="440" w:firstLineChars="200"/>
        <w:rPr>
          <w:rFonts w:hint="eastAsia" w:ascii="楷体" w:hAnsi="楷体" w:eastAsia="楷体" w:cs="楷体"/>
          <w:color w:val="auto"/>
          <w:sz w:val="22"/>
          <w:szCs w:val="22"/>
        </w:rPr>
      </w:pPr>
      <w:r>
        <w:rPr>
          <w:rFonts w:hint="eastAsia" w:ascii="楷体" w:hAnsi="楷体" w:eastAsia="楷体" w:cs="楷体"/>
          <w:color w:val="auto"/>
          <w:sz w:val="22"/>
          <w:szCs w:val="22"/>
        </w:rPr>
        <w:t>3.乙方推广服务费计算方式：</w:t>
      </w:r>
    </w:p>
    <w:p w14:paraId="5617E3F2">
      <w:pPr>
        <w:adjustRightInd w:val="0"/>
        <w:snapToGrid w:val="0"/>
        <w:spacing w:before="156" w:beforeLines="50" w:line="288" w:lineRule="auto"/>
        <w:rPr>
          <w:rFonts w:hint="eastAsia" w:ascii="楷体" w:hAnsi="楷体" w:eastAsia="楷体" w:cs="楷体"/>
          <w:sz w:val="22"/>
        </w:rPr>
      </w:pPr>
      <w:r>
        <w:rPr>
          <w:rFonts w:hint="eastAsia" w:ascii="楷体" w:hAnsi="楷体" w:eastAsia="楷体" w:cs="楷体"/>
          <w:sz w:val="22"/>
        </w:rPr>
        <w:t>乙方推广服务费=（乙方推荐客户管理费率-渠道管理费率）*月度流水（实发金额，不含管理费）</w:t>
      </w:r>
    </w:p>
    <w:p w14:paraId="63241825">
      <w:pPr>
        <w:pStyle w:val="7"/>
        <w:keepNext w:val="0"/>
        <w:keepLines w:val="0"/>
        <w:widowControl/>
        <w:suppressLineNumbers w:val="0"/>
        <w:jc w:val="left"/>
        <w:rPr>
          <w:rFonts w:hint="eastAsia" w:ascii="楷体" w:hAnsi="楷体" w:eastAsia="楷体" w:cs="楷体"/>
          <w:sz w:val="22"/>
        </w:rPr>
      </w:pPr>
      <w:r>
        <w:rPr>
          <w:rFonts w:hint="eastAsia" w:ascii="楷体" w:hAnsi="楷体" w:eastAsia="楷体" w:cs="楷体"/>
          <w:sz w:val="22"/>
        </w:rPr>
        <w:t>4.在本合同有效期内，乙方指定</w:t>
      </w:r>
      <w:permStart w:id="3" w:edGrp="everyone"/>
      <w:r>
        <w:rPr>
          <w:rFonts w:hint="eastAsia" w:ascii="楷体" w:hAnsi="楷体" w:eastAsia="楷体" w:cs="楷体"/>
          <w:sz w:val="22"/>
        </w:rPr>
        <w:t xml:space="preserve"> </w:t>
      </w:r>
      <w:r>
        <w:rPr>
          <w:rFonts w:hint="eastAsia" w:ascii="楷体" w:hAnsi="楷体" w:eastAsia="楷体" w:cs="楷体"/>
          <w:sz w:val="22"/>
          <w:lang w:val="en-US" w:eastAsia="zh-CN"/>
        </w:rPr>
        <w:t xml:space="preserve"> </w:t>
      </w:r>
      <w:r>
        <w:rPr>
          <w:rFonts w:hint="eastAsia" w:ascii="楷体" w:hAnsi="楷体" w:eastAsia="楷体" w:cs="楷体"/>
          <w:sz w:val="22"/>
        </w:rPr>
        <w:t xml:space="preserve"> </w:t>
      </w:r>
      <w:permEnd w:id="3"/>
      <w:r>
        <w:rPr>
          <w:rFonts w:hint="eastAsia" w:ascii="楷体" w:hAnsi="楷体" w:eastAsia="楷体" w:cs="楷体"/>
          <w:sz w:val="22"/>
        </w:rPr>
        <w:t>为乙方联系人，联系邮箱:</w:t>
      </w:r>
      <w:permStart w:id="4" w:edGrp="everyone"/>
      <w:r>
        <w:rPr>
          <w:rFonts w:hint="eastAsia" w:ascii="楷体" w:hAnsi="楷体" w:eastAsia="楷体" w:cs="楷体"/>
          <w:sz w:val="22"/>
        </w:rPr>
        <w:t xml:space="preserve"> </w:t>
      </w:r>
      <w:r>
        <w:rPr>
          <w:rFonts w:hint="eastAsia" w:ascii="楷体" w:hAnsi="楷体" w:eastAsia="楷体" w:cs="楷体"/>
          <w:sz w:val="22"/>
          <w:lang w:val="en-US" w:eastAsia="zh-CN"/>
        </w:rPr>
        <w:t xml:space="preserve"> </w:t>
      </w:r>
      <w:r>
        <w:rPr>
          <w:rFonts w:hint="eastAsia" w:ascii="楷体" w:hAnsi="楷体" w:eastAsia="楷体" w:cs="楷体"/>
          <w:sz w:val="22"/>
        </w:rPr>
        <w:t xml:space="preserve"> </w:t>
      </w:r>
      <w:permEnd w:id="4"/>
      <w:r>
        <w:rPr>
          <w:rFonts w:hint="eastAsia" w:ascii="楷体" w:hAnsi="楷体" w:eastAsia="楷体" w:cs="楷体"/>
          <w:sz w:val="22"/>
        </w:rPr>
        <w:t>。乙方联系人负责执行本合同项下的具体联络事务。乙方确认，前述联系人所为的一切行为、通过前述邮箱进行任何意思表示、确认等均代表乙方，并由乙方承担其行为产生的一切后果。当联系人信息发生变化时，乙方或乙方联系人应提前书面（包括但不限于邮件等方式）通知甲方；当乙方非以上述联系人与甲方联络时，甲方有权不予受理。</w:t>
      </w:r>
    </w:p>
    <w:p w14:paraId="52956C02">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（二）乙方同意按照如下约定的结算方式，进行推广拓展佣金的结算：</w:t>
      </w:r>
    </w:p>
    <w:p w14:paraId="247BEB1D">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sz w:val="22"/>
        </w:rPr>
        <w:t>1、</w:t>
      </w:r>
      <w:r>
        <w:rPr>
          <w:rFonts w:hint="eastAsia" w:ascii="楷体" w:hAnsi="楷体" w:eastAsia="楷体" w:cs="楷体"/>
          <w:color w:val="000000" w:themeColor="text1"/>
          <w:sz w:val="22"/>
          <w14:textFill>
            <w14:solidFill>
              <w14:schemeClr w14:val="tx1"/>
            </w14:solidFill>
          </w14:textFill>
        </w:rPr>
        <w:t>乙方结算周期为按月结算。即乙方在每月前10个工作日内根据甲方提供平台核对上月推广拓展数据及应得佣金，在确认无误后，由甲方依据系统数据为乙方结算拓展佣金。</w:t>
      </w:r>
    </w:p>
    <w:p w14:paraId="7FDD37D5">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1.1、如乙方为企业身份，则由乙方提供6%的佣金服务费增值税专用发票给与甲方入账，甲方收到该佣金发票后于当月支付该佣金至乙方指定账户。</w:t>
      </w:r>
    </w:p>
    <w:p w14:paraId="02867EA9">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如若乙方不能提供可抵扣税点为6%的增值税专用发票，甲方会根据乙方提供的发票种类确定服务费支付比例，乙方按照原应收结算款乘以支付比例后的金额向甲方提供相应类型的发票。</w:t>
      </w:r>
    </w:p>
    <w:p w14:paraId="755BCB58">
      <w:pPr>
        <w:adjustRightInd w:val="0"/>
        <w:snapToGrid w:val="0"/>
        <w:spacing w:before="156" w:beforeLines="50" w:line="288" w:lineRule="auto"/>
        <w:ind w:firstLine="330" w:firstLineChars="15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具体比例如下: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0"/>
        <w:gridCol w:w="3440"/>
      </w:tblGrid>
      <w:tr w14:paraId="0F01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440" w:type="dxa"/>
          </w:tcPr>
          <w:p w14:paraId="17198373">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发票种类</w:t>
            </w:r>
          </w:p>
        </w:tc>
        <w:tc>
          <w:tcPr>
            <w:tcW w:w="3440" w:type="dxa"/>
          </w:tcPr>
          <w:p w14:paraId="25DD6761">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支付比例</w:t>
            </w:r>
          </w:p>
        </w:tc>
      </w:tr>
      <w:tr w14:paraId="6994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440" w:type="dxa"/>
            <w:vAlign w:val="center"/>
          </w:tcPr>
          <w:p w14:paraId="0DDF03F6">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增值税专用发票（6%）</w:t>
            </w:r>
          </w:p>
        </w:tc>
        <w:tc>
          <w:tcPr>
            <w:tcW w:w="3440" w:type="dxa"/>
            <w:vAlign w:val="center"/>
          </w:tcPr>
          <w:p w14:paraId="33559803">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100%</w:t>
            </w:r>
          </w:p>
        </w:tc>
      </w:tr>
      <w:tr w14:paraId="22F5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440" w:type="dxa"/>
            <w:vAlign w:val="center"/>
          </w:tcPr>
          <w:p w14:paraId="5BDA8B99">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增值税专用发票（3%）</w:t>
            </w:r>
          </w:p>
        </w:tc>
        <w:tc>
          <w:tcPr>
            <w:tcW w:w="3440" w:type="dxa"/>
            <w:vAlign w:val="center"/>
          </w:tcPr>
          <w:p w14:paraId="5AC56460">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97%</w:t>
            </w:r>
          </w:p>
        </w:tc>
      </w:tr>
      <w:tr w14:paraId="0926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440" w:type="dxa"/>
            <w:vAlign w:val="center"/>
          </w:tcPr>
          <w:p w14:paraId="141FD89A">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增值税专用发票（1%）</w:t>
            </w:r>
          </w:p>
        </w:tc>
        <w:tc>
          <w:tcPr>
            <w:tcW w:w="3440" w:type="dxa"/>
            <w:vAlign w:val="center"/>
          </w:tcPr>
          <w:p w14:paraId="2294803C">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95%</w:t>
            </w:r>
          </w:p>
        </w:tc>
      </w:tr>
      <w:tr w14:paraId="1F40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440" w:type="dxa"/>
            <w:vAlign w:val="center"/>
          </w:tcPr>
          <w:p w14:paraId="2354ECC9">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增值税普通发票</w:t>
            </w:r>
          </w:p>
        </w:tc>
        <w:tc>
          <w:tcPr>
            <w:tcW w:w="3440" w:type="dxa"/>
            <w:vAlign w:val="center"/>
          </w:tcPr>
          <w:p w14:paraId="2AEA2635">
            <w:pPr>
              <w:adjustRightInd w:val="0"/>
              <w:snapToGrid w:val="0"/>
              <w:spacing w:before="156" w:beforeLines="50" w:line="288" w:lineRule="auto"/>
              <w:jc w:val="center"/>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94%</w:t>
            </w:r>
          </w:p>
        </w:tc>
      </w:tr>
    </w:tbl>
    <w:p w14:paraId="557DB8CE">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1.2、如乙方为自然人个人，由甲方所合作的相应代办企业根据双方确认的佣金金额，代扣乙方6%的税费后，甲方或其合作的代办企业将严格按照《中华人民共和国个人所得税法》及国家税务总局2025年第16号公告等相关税收法律法规，履行个人所得税代扣代缴义务。具体结算方式如下：</w:t>
      </w:r>
    </w:p>
    <w:p w14:paraId="3778E4B0">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(a) 甲方作为扣缴义务人，将乙方视为其连续提供劳务的个人，按月为其办理连续劳务报酬所得的个人所得税预扣预缴申报。</w:t>
      </w:r>
    </w:p>
    <w:p w14:paraId="6C3EA3F4">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 xml:space="preserve">(b) 税款计算：甲方将按照“累计预扣法”计算乙方当月的应纳税款。即根据乙方在本年度内从甲方处累计取得的连续劳务报酬收入，减除20%后按基本减除费用（每月5000元）按3-45%预扣个人所得税的税款。 </w:t>
      </w:r>
    </w:p>
    <w:p w14:paraId="68D76010">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(c) 结算支付：甲方在支付乙方推广服务费前，除代扣乙方6%的税费外，也将依法扣除乙方推广中按连续劳务产生收入的个人所得税</w:t>
      </w:r>
      <w:r>
        <w:rPr>
          <w:rFonts w:hint="eastAsia" w:ascii="楷体" w:hAnsi="楷体" w:eastAsia="楷体" w:cs="楷体"/>
          <w:color w:val="000000" w:themeColor="text1"/>
          <w:sz w:val="22"/>
          <w:lang w:val="en-US" w:eastAsia="zh-CN"/>
          <w14:textFill>
            <w14:solidFill>
              <w14:schemeClr w14:val="tx1"/>
            </w14:solidFill>
          </w14:textFill>
        </w:rPr>
        <w:t>和增值税及附加税费（如有）</w:t>
      </w:r>
      <w:r>
        <w:rPr>
          <w:rFonts w:hint="eastAsia" w:ascii="楷体" w:hAnsi="楷体" w:eastAsia="楷体" w:cs="楷体"/>
          <w:color w:val="000000" w:themeColor="text1"/>
          <w:sz w:val="22"/>
          <w14:textFill>
            <w14:solidFill>
              <w14:schemeClr w14:val="tx1"/>
            </w14:solidFill>
          </w14:textFill>
        </w:rPr>
        <w:t>，再向乙方支付佣金。</w:t>
      </w:r>
      <w:r>
        <w:rPr>
          <w:rFonts w:hint="eastAsia" w:ascii="楷体" w:hAnsi="楷体" w:eastAsia="楷体" w:cs="楷体"/>
          <w:i w:val="0"/>
          <w:iCs w:val="0"/>
          <w:caps w:val="0"/>
          <w:color w:val="000000" w:themeColor="text1"/>
          <w:spacing w:val="0"/>
          <w:sz w:val="22"/>
          <w:szCs w:val="22"/>
          <w:shd w:val="clear" w:fill="auto"/>
          <w:lang w:val="en-US" w:eastAsia="zh-CN"/>
          <w14:textFill>
            <w14:solidFill>
              <w14:schemeClr w14:val="tx1"/>
            </w14:solidFill>
          </w14:textFill>
        </w:rPr>
        <w:t>乙方（自然人身份）</w:t>
      </w:r>
      <w:r>
        <w:rPr>
          <w:rFonts w:hint="eastAsia" w:ascii="楷体" w:hAnsi="楷体" w:eastAsia="楷体" w:cs="楷体"/>
          <w:i w:val="0"/>
          <w:iCs w:val="0"/>
          <w:caps w:val="0"/>
          <w:color w:val="000000" w:themeColor="text1"/>
          <w:spacing w:val="0"/>
          <w:sz w:val="22"/>
          <w:szCs w:val="22"/>
          <w:shd w:val="clear" w:fill="auto"/>
          <w14:textFill>
            <w14:solidFill>
              <w14:schemeClr w14:val="tx1"/>
            </w14:solidFill>
          </w14:textFill>
        </w:rPr>
        <w:t>自</w:t>
      </w:r>
      <w:r>
        <w:rPr>
          <w:rFonts w:hint="eastAsia" w:ascii="楷体" w:hAnsi="楷体" w:eastAsia="楷体" w:cs="楷体"/>
          <w:i w:val="0"/>
          <w:iCs w:val="0"/>
          <w:caps w:val="0"/>
          <w:color w:val="000000" w:themeColor="text1"/>
          <w:spacing w:val="0"/>
          <w:sz w:val="22"/>
          <w:szCs w:val="22"/>
          <w:shd w:val="clear" w:fill="auto"/>
          <w:lang w:val="en-US" w:eastAsia="zh-CN"/>
          <w14:textFill>
            <w14:solidFill>
              <w14:schemeClr w14:val="tx1"/>
            </w14:solidFill>
          </w14:textFill>
        </w:rPr>
        <w:t>甲方</w:t>
      </w:r>
      <w:r>
        <w:rPr>
          <w:rFonts w:hint="eastAsia" w:ascii="楷体" w:hAnsi="楷体" w:eastAsia="楷体" w:cs="楷体"/>
          <w:i w:val="0"/>
          <w:iCs w:val="0"/>
          <w:caps w:val="0"/>
          <w:color w:val="000000" w:themeColor="text1"/>
          <w:spacing w:val="0"/>
          <w:sz w:val="22"/>
          <w:szCs w:val="22"/>
          <w:shd w:val="clear" w:fill="auto"/>
          <w14:textFill>
            <w14:solidFill>
              <w14:schemeClr w14:val="tx1"/>
            </w14:solidFill>
          </w14:textFill>
        </w:rPr>
        <w:t>取得的服务收入可按规定享受增值税小规模纳税人月销售额10万元以下免征增值税、3%征收率减按1%计算缴纳增值税等税费优惠政策</w:t>
      </w:r>
      <w:r>
        <w:rPr>
          <w:rFonts w:hint="eastAsia" w:ascii="楷体" w:hAnsi="楷体" w:eastAsia="楷体" w:cs="楷体"/>
          <w:i w:val="0"/>
          <w:iCs w:val="0"/>
          <w:caps w:val="0"/>
          <w:color w:val="000000" w:themeColor="text1"/>
          <w:spacing w:val="0"/>
          <w:sz w:val="22"/>
          <w:szCs w:val="22"/>
          <w:shd w:val="clear"/>
          <w:lang w:eastAsia="zh-CN"/>
          <w14:textFill>
            <w14:solidFill>
              <w14:schemeClr w14:val="tx1"/>
            </w14:solidFill>
          </w14:textFill>
        </w:rPr>
        <w:t>。</w:t>
      </w:r>
    </w:p>
    <w:p w14:paraId="19AE8EB6">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(d) 乙方理解并同意，为完成税务申报，乙方必须向甲方提供真实、有效的身份信息（包括姓名、身份证号码、银行账户、联系电话等），并授权甲方将上述信息提供给甲方合作的代办企业及税务机关。因乙方提供信息错误、失效或未及时更新导致无法正常申报或结算的，相关责任和风险由乙方自行承担。</w:t>
      </w:r>
    </w:p>
    <w:p w14:paraId="666939BF">
      <w:pPr>
        <w:adjustRightInd w:val="0"/>
        <w:snapToGrid w:val="0"/>
        <w:spacing w:before="156" w:beforeLines="50" w:line="288" w:lineRule="auto"/>
        <w:ind w:firstLine="440" w:firstLineChars="200"/>
        <w:rPr>
          <w:rFonts w:hint="eastAsia" w:ascii="楷体" w:hAnsi="楷体" w:eastAsia="楷体" w:cs="楷体"/>
          <w:color w:val="000000" w:themeColor="text1"/>
          <w:sz w:val="22"/>
          <w14:textFill>
            <w14:solidFill>
              <w14:schemeClr w14:val="tx1"/>
            </w14:solidFill>
          </w14:textFill>
        </w:rPr>
      </w:pPr>
      <w:r>
        <w:rPr>
          <w:rFonts w:hint="eastAsia" w:ascii="楷体" w:hAnsi="楷体" w:eastAsia="楷体" w:cs="楷体"/>
          <w:color w:val="000000" w:themeColor="text1"/>
          <w:sz w:val="22"/>
          <w14:textFill>
            <w14:solidFill>
              <w14:schemeClr w14:val="tx1"/>
            </w14:solidFill>
          </w14:textFill>
        </w:rPr>
        <w:t>(e) 年度汇算清缴：乙方知悉并同意，甲方或其合作方代为预扣预缴的税款为其该项收入的预缴税款。乙方应自行关注其全年综合所得情况，并依法于纳税次年3月1日后办理个人所得税综合所得汇算清缴，对税款进行多退少补。</w:t>
      </w:r>
    </w:p>
    <w:p w14:paraId="6F238C50">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2、</w:t>
      </w:r>
      <w:r>
        <w:rPr>
          <w:rFonts w:hint="eastAsia" w:ascii="楷体" w:hAnsi="楷体" w:eastAsia="楷体" w:cs="楷体"/>
          <w:color w:val="000000" w:themeColor="text1"/>
          <w:sz w:val="22"/>
          <w14:textFill>
            <w14:solidFill>
              <w14:schemeClr w14:val="tx1"/>
            </w14:solidFill>
          </w14:textFill>
        </w:rPr>
        <w:t>如因</w:t>
      </w:r>
      <w:r>
        <w:rPr>
          <w:rFonts w:hint="eastAsia" w:ascii="楷体" w:hAnsi="楷体" w:eastAsia="楷体" w:cs="楷体"/>
          <w:sz w:val="22"/>
        </w:rPr>
        <w:t>国家及地方政策变化导致甲方及关联公司价格体系机制发生变化，甲方将第一时间同步乙方，乙方需将因政策变化导致的价格体系机制变化情况同步给乙方推荐客户，并由乙方推荐企业自行承担需要补缴相关费用，如因个人原因产生补缴，则由个人进行承担，该价格体系机制变化适用于乙方已结算或未结算的拓展佣金。乙方及其推荐企业需配合进行沟通处理，如乙方推荐企业不履行补缴或沟通义务，则乙方需积极配合甲方进行追缴沟通，不得采取消极态度恶意拖延。</w:t>
      </w:r>
    </w:p>
    <w:p w14:paraId="31C59617">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3、特别说明，当乙方推荐客户下发人员出现以下情况时，乙方需协助甲方及甲方合作园区要求客户对该人员下发所得进行退款，且因乙方推荐客户的违约行为甲方平台收取的服务费不予退还，乙方针对该部分下发的分润应退还甲方。</w:t>
      </w:r>
    </w:p>
    <w:p w14:paraId="1455E32A">
      <w:pPr>
        <w:pStyle w:val="21"/>
        <w:spacing w:line="336" w:lineRule="auto"/>
        <w:ind w:firstLine="420"/>
        <w:rPr>
          <w:rFonts w:hint="eastAsia" w:ascii="楷体" w:hAnsi="楷体" w:eastAsia="楷体" w:cs="楷体"/>
          <w:b/>
          <w:bCs/>
          <w:color w:val="auto"/>
          <w:kern w:val="0"/>
          <w:sz w:val="20"/>
          <w:szCs w:val="20"/>
        </w:rPr>
      </w:pPr>
      <w:r>
        <w:rPr>
          <w:rFonts w:hint="eastAsia" w:ascii="楷体" w:hAnsi="楷体" w:eastAsia="楷体" w:cs="楷体"/>
          <w:b/>
          <w:bCs/>
          <w:color w:val="auto"/>
          <w:kern w:val="0"/>
          <w:sz w:val="20"/>
          <w:szCs w:val="20"/>
        </w:rPr>
        <w:t>3.1</w:t>
      </w:r>
      <w:r>
        <w:rPr>
          <w:rFonts w:hint="eastAsia" w:ascii="楷体" w:hAnsi="楷体" w:eastAsia="楷体" w:cs="楷体"/>
          <w:b/>
          <w:bCs/>
          <w:color w:val="auto"/>
          <w:kern w:val="0"/>
          <w:sz w:val="20"/>
          <w:szCs w:val="20"/>
          <w:lang w:val="zh-Hans" w:eastAsia="zh-Hans"/>
        </w:rPr>
        <w:t>与</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具有劳动合同关系、或其他类似的劳动人事法律关系的人员；</w:t>
      </w:r>
    </w:p>
    <w:p w14:paraId="3B5A1A79">
      <w:pPr>
        <w:pStyle w:val="21"/>
        <w:spacing w:line="336" w:lineRule="auto"/>
        <w:ind w:firstLine="420"/>
        <w:rPr>
          <w:rFonts w:hint="eastAsia" w:ascii="楷体" w:hAnsi="楷体" w:eastAsia="楷体" w:cs="楷体"/>
          <w:b/>
          <w:bCs/>
          <w:color w:val="auto"/>
          <w:kern w:val="0"/>
          <w:sz w:val="20"/>
          <w:szCs w:val="20"/>
        </w:rPr>
      </w:pPr>
      <w:r>
        <w:rPr>
          <w:rFonts w:hint="eastAsia" w:ascii="楷体" w:hAnsi="楷体" w:eastAsia="楷体" w:cs="楷体"/>
          <w:b/>
          <w:bCs/>
          <w:color w:val="auto"/>
          <w:kern w:val="0"/>
          <w:sz w:val="20"/>
          <w:szCs w:val="20"/>
        </w:rPr>
        <w:t>3.2</w:t>
      </w:r>
      <w:r>
        <w:rPr>
          <w:rFonts w:hint="eastAsia" w:ascii="楷体" w:hAnsi="楷体" w:eastAsia="楷体" w:cs="楷体"/>
          <w:b/>
          <w:bCs/>
          <w:color w:val="auto"/>
          <w:kern w:val="0"/>
          <w:sz w:val="20"/>
          <w:szCs w:val="20"/>
          <w:lang w:val="zh-Hans" w:eastAsia="zh-Hans"/>
        </w:rPr>
        <w:t>与</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（含关联企业）具有劳动合同关系、或其他类似的劳动人事法律关系的人员；</w:t>
      </w:r>
    </w:p>
    <w:p w14:paraId="2DD040E7">
      <w:pPr>
        <w:pStyle w:val="21"/>
        <w:spacing w:line="336" w:lineRule="auto"/>
        <w:ind w:firstLine="420"/>
        <w:rPr>
          <w:rFonts w:hint="eastAsia" w:ascii="楷体" w:hAnsi="楷体" w:eastAsia="楷体" w:cs="楷体"/>
          <w:b/>
          <w:bCs/>
          <w:color w:val="auto"/>
          <w:kern w:val="0"/>
          <w:sz w:val="20"/>
          <w:szCs w:val="20"/>
        </w:rPr>
      </w:pPr>
      <w:r>
        <w:rPr>
          <w:rFonts w:hint="eastAsia" w:ascii="楷体" w:hAnsi="楷体" w:eastAsia="楷体" w:cs="楷体"/>
          <w:b/>
          <w:bCs/>
          <w:color w:val="auto"/>
          <w:kern w:val="0"/>
          <w:sz w:val="20"/>
          <w:szCs w:val="20"/>
        </w:rPr>
        <w:t>3.3乙方推荐客户</w:t>
      </w:r>
      <w:r>
        <w:rPr>
          <w:rFonts w:hint="eastAsia" w:ascii="楷体" w:hAnsi="楷体" w:eastAsia="楷体" w:cs="楷体"/>
          <w:b/>
          <w:bCs/>
          <w:color w:val="auto"/>
          <w:kern w:val="0"/>
          <w:sz w:val="20"/>
          <w:szCs w:val="20"/>
          <w:lang w:val="zh-Hans" w:eastAsia="zh-Hans"/>
        </w:rPr>
        <w:t>（含关联企业）的</w:t>
      </w:r>
      <w:bookmarkStart w:id="1" w:name="_Hlk510465514"/>
      <w:r>
        <w:rPr>
          <w:rFonts w:hint="eastAsia" w:ascii="楷体" w:hAnsi="楷体" w:eastAsia="楷体" w:cs="楷体"/>
          <w:b/>
          <w:bCs/>
          <w:color w:val="auto"/>
          <w:kern w:val="0"/>
          <w:sz w:val="20"/>
          <w:szCs w:val="20"/>
          <w:lang w:val="zh-Hans" w:eastAsia="zh-Hans"/>
        </w:rPr>
        <w:t>法定代表人、董事、监事、股东</w:t>
      </w:r>
      <w:bookmarkEnd w:id="1"/>
      <w:r>
        <w:rPr>
          <w:rFonts w:hint="eastAsia" w:ascii="楷体" w:hAnsi="楷体" w:eastAsia="楷体" w:cs="楷体"/>
          <w:b/>
          <w:bCs/>
          <w:color w:val="auto"/>
          <w:kern w:val="0"/>
          <w:sz w:val="20"/>
          <w:szCs w:val="20"/>
          <w:lang w:val="zh-Hans" w:eastAsia="zh-Hans"/>
        </w:rPr>
        <w:t>；</w:t>
      </w:r>
    </w:p>
    <w:p w14:paraId="17E84F84">
      <w:pPr>
        <w:pStyle w:val="21"/>
        <w:spacing w:line="336" w:lineRule="auto"/>
        <w:ind w:firstLine="420"/>
        <w:rPr>
          <w:rFonts w:hint="eastAsia" w:ascii="楷体" w:hAnsi="楷体" w:eastAsia="楷体" w:cs="楷体"/>
          <w:b/>
          <w:bCs/>
          <w:color w:val="auto"/>
          <w:kern w:val="0"/>
          <w:sz w:val="20"/>
          <w:szCs w:val="20"/>
          <w:lang w:val="zh-Hans" w:eastAsia="zh-Hans"/>
        </w:rPr>
      </w:pPr>
      <w:r>
        <w:rPr>
          <w:rFonts w:hint="eastAsia" w:ascii="楷体" w:hAnsi="楷体" w:eastAsia="楷体" w:cs="楷体"/>
          <w:b/>
          <w:bCs/>
          <w:color w:val="auto"/>
          <w:kern w:val="0"/>
          <w:sz w:val="20"/>
          <w:szCs w:val="20"/>
        </w:rPr>
        <w:t>3.4</w:t>
      </w:r>
      <w:r>
        <w:rPr>
          <w:rFonts w:hint="eastAsia" w:ascii="楷体" w:hAnsi="楷体" w:eastAsia="楷体" w:cs="楷体"/>
          <w:b/>
          <w:bCs/>
          <w:color w:val="auto"/>
          <w:kern w:val="0"/>
          <w:sz w:val="20"/>
          <w:szCs w:val="20"/>
          <w:lang w:val="zh-Hans" w:eastAsia="zh-Hans"/>
        </w:rPr>
        <w:t>其他不适用于共享经济综合服务的人员</w:t>
      </w:r>
      <w:r>
        <w:rPr>
          <w:rFonts w:hint="eastAsia" w:ascii="楷体" w:hAnsi="楷体" w:eastAsia="楷体" w:cs="楷体"/>
          <w:b/>
          <w:bCs/>
          <w:color w:val="auto"/>
          <w:kern w:val="0"/>
          <w:sz w:val="20"/>
          <w:szCs w:val="20"/>
          <w:lang w:val="zh-Hans"/>
        </w:rPr>
        <w:t>，</w:t>
      </w:r>
      <w:r>
        <w:rPr>
          <w:rFonts w:hint="eastAsia" w:ascii="楷体" w:hAnsi="楷体" w:eastAsia="楷体" w:cs="楷体"/>
          <w:b/>
          <w:bCs/>
          <w:color w:val="auto"/>
          <w:kern w:val="0"/>
          <w:sz w:val="20"/>
          <w:szCs w:val="20"/>
        </w:rPr>
        <w:t>如在编教师、军人、公职人员等国家法律法规和纪律规定禁止从事兼职或经商的人员或从事某一特定场景兼职服务的人员</w:t>
      </w:r>
      <w:r>
        <w:rPr>
          <w:rFonts w:hint="eastAsia" w:ascii="楷体" w:hAnsi="楷体" w:eastAsia="楷体" w:cs="楷体"/>
          <w:b/>
          <w:bCs/>
          <w:color w:val="auto"/>
          <w:kern w:val="0"/>
          <w:sz w:val="20"/>
          <w:szCs w:val="20"/>
          <w:lang w:val="zh-Hans" w:eastAsia="zh-Hans"/>
        </w:rPr>
        <w:t>。</w:t>
      </w:r>
    </w:p>
    <w:p w14:paraId="763E5A0A">
      <w:pPr>
        <w:pStyle w:val="21"/>
        <w:spacing w:line="336" w:lineRule="auto"/>
        <w:ind w:firstLine="420"/>
        <w:rPr>
          <w:rFonts w:hint="eastAsia" w:ascii="楷体" w:hAnsi="楷体" w:eastAsia="楷体" w:cs="楷体"/>
          <w:color w:val="auto"/>
          <w:szCs w:val="20"/>
        </w:rPr>
      </w:pPr>
      <w:r>
        <w:rPr>
          <w:rFonts w:hint="eastAsia" w:ascii="楷体" w:hAnsi="楷体" w:eastAsia="楷体" w:cs="楷体"/>
          <w:b/>
          <w:bCs/>
          <w:color w:val="auto"/>
          <w:kern w:val="0"/>
          <w:sz w:val="20"/>
          <w:szCs w:val="20"/>
        </w:rPr>
        <w:t>3.5</w:t>
      </w:r>
      <w:r>
        <w:rPr>
          <w:rFonts w:hint="eastAsia" w:ascii="楷体" w:hAnsi="楷体" w:eastAsia="楷体" w:cs="楷体"/>
          <w:b/>
          <w:bCs/>
          <w:color w:val="auto"/>
          <w:kern w:val="0"/>
          <w:sz w:val="20"/>
          <w:szCs w:val="20"/>
          <w:lang w:val="zh-Hans" w:eastAsia="zh-Hans"/>
        </w:rPr>
        <w:t>前述</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（含关联企业）指，与</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相互间直接或间接持有其中一方的股权；或者与</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直接或间接同为第三者所拥有或控制股权；或者对</w:t>
      </w:r>
      <w:r>
        <w:rPr>
          <w:rFonts w:hint="eastAsia" w:ascii="楷体" w:hAnsi="楷体" w:eastAsia="楷体" w:cs="楷体"/>
          <w:b/>
          <w:bCs/>
          <w:color w:val="auto"/>
          <w:kern w:val="0"/>
          <w:sz w:val="20"/>
          <w:szCs w:val="20"/>
        </w:rPr>
        <w:t>乙方推荐客户</w:t>
      </w:r>
      <w:r>
        <w:rPr>
          <w:rFonts w:hint="eastAsia" w:ascii="楷体" w:hAnsi="楷体" w:eastAsia="楷体" w:cs="楷体"/>
          <w:b/>
          <w:bCs/>
          <w:color w:val="auto"/>
          <w:kern w:val="0"/>
          <w:sz w:val="20"/>
          <w:szCs w:val="20"/>
          <w:lang w:val="zh-Hans" w:eastAsia="zh-Hans"/>
        </w:rPr>
        <w:t>生产经营、交易具有实际控制的与其他利益相关联的关系（包括但不限于婚姻、近亲属关系）。</w:t>
      </w:r>
    </w:p>
    <w:p w14:paraId="684E2983">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themeColor="text1"/>
          <w:sz w:val="22"/>
          <w14:textFill>
            <w14:solidFill>
              <w14:schemeClr w14:val="tx1"/>
            </w14:solidFill>
          </w14:textFill>
        </w:rPr>
        <w:t>（三）如乙方对佣金有异议的，可以书面方式</w:t>
      </w:r>
      <w:r>
        <w:rPr>
          <w:rFonts w:hint="eastAsia" w:ascii="楷体" w:hAnsi="楷体" w:eastAsia="楷体" w:cs="楷体"/>
          <w:color w:val="000000"/>
          <w:sz w:val="22"/>
        </w:rPr>
        <w:t>向甲方申请查询有异议时间段内的明细。</w:t>
      </w:r>
    </w:p>
    <w:p w14:paraId="3100C4D9">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（四）乙方结算账户如下：</w:t>
      </w:r>
    </w:p>
    <w:p w14:paraId="4EEBC963">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账户名：</w:t>
      </w:r>
      <w:permStart w:id="5" w:edGrp="everyone"/>
      <w:r>
        <w:rPr>
          <w:rFonts w:hint="eastAsia" w:ascii="楷体" w:hAnsi="楷体" w:eastAsia="楷体" w:cs="楷体"/>
          <w:color w:val="000000"/>
          <w:sz w:val="22"/>
        </w:rPr>
        <w:t xml:space="preserve"> </w:t>
      </w:r>
      <w:r>
        <w:rPr>
          <w:rFonts w:hint="eastAsia" w:ascii="楷体" w:hAnsi="楷体" w:eastAsia="楷体" w:cs="楷体"/>
          <w:sz w:val="22"/>
          <w:lang w:val="en-US" w:eastAsia="zh-CN"/>
        </w:rPr>
        <w:t xml:space="preserve"> </w:t>
      </w:r>
    </w:p>
    <w:permEnd w:id="5"/>
    <w:p w14:paraId="2414F535">
      <w:pPr>
        <w:adjustRightInd w:val="0"/>
        <w:snapToGrid w:val="0"/>
        <w:spacing w:before="156" w:beforeLines="50" w:line="288" w:lineRule="auto"/>
        <w:ind w:firstLine="330" w:firstLineChars="150"/>
        <w:rPr>
          <w:rFonts w:hint="default" w:ascii="楷体" w:hAnsi="楷体" w:eastAsia="楷体" w:cs="楷体"/>
          <w:color w:val="000000"/>
          <w:sz w:val="22"/>
          <w:lang w:val="en-US" w:eastAsia="zh-CN"/>
        </w:rPr>
      </w:pPr>
      <w:r>
        <w:rPr>
          <w:rFonts w:hint="eastAsia" w:ascii="楷体" w:hAnsi="楷体" w:eastAsia="楷体" w:cs="楷体"/>
          <w:color w:val="000000"/>
          <w:sz w:val="22"/>
        </w:rPr>
        <w:t>账户号码：</w:t>
      </w:r>
      <w:permStart w:id="6" w:edGrp="everyone"/>
      <w:r>
        <w:rPr>
          <w:rFonts w:hint="eastAsia" w:ascii="楷体" w:hAnsi="楷体" w:eastAsia="楷体" w:cs="楷体"/>
          <w:color w:val="000000"/>
          <w:sz w:val="22"/>
        </w:rPr>
        <w:t xml:space="preserve"> </w:t>
      </w:r>
      <w:r>
        <w:rPr>
          <w:rFonts w:hint="eastAsia" w:ascii="楷体" w:hAnsi="楷体" w:eastAsia="楷体" w:cs="楷体"/>
          <w:color w:val="000000"/>
          <w:sz w:val="22"/>
          <w:lang w:val="en-US" w:eastAsia="zh-CN"/>
        </w:rPr>
        <w:t xml:space="preserve"> </w:t>
      </w:r>
    </w:p>
    <w:permEnd w:id="6"/>
    <w:p w14:paraId="23FDE228">
      <w:pPr>
        <w:adjustRightInd w:val="0"/>
        <w:snapToGrid w:val="0"/>
        <w:spacing w:before="156" w:beforeLines="50" w:line="288" w:lineRule="auto"/>
        <w:ind w:firstLine="330" w:firstLineChars="150"/>
        <w:rPr>
          <w:rFonts w:hint="default" w:ascii="楷体" w:hAnsi="楷体" w:eastAsia="楷体" w:cs="楷体"/>
          <w:color w:val="000000"/>
          <w:sz w:val="22"/>
          <w:lang w:val="en-US" w:eastAsia="zh-CN"/>
        </w:rPr>
      </w:pPr>
      <w:r>
        <w:rPr>
          <w:rFonts w:hint="eastAsia" w:ascii="楷体" w:hAnsi="楷体" w:eastAsia="楷体" w:cs="楷体"/>
          <w:color w:val="000000"/>
          <w:sz w:val="22"/>
        </w:rPr>
        <w:t>开户银行：</w:t>
      </w:r>
      <w:permStart w:id="7" w:edGrp="everyone"/>
      <w:r>
        <w:rPr>
          <w:rFonts w:hint="eastAsia" w:ascii="楷体" w:hAnsi="楷体" w:eastAsia="楷体" w:cs="楷体"/>
          <w:color w:val="000000"/>
          <w:sz w:val="22"/>
        </w:rPr>
        <w:t xml:space="preserve"> </w:t>
      </w:r>
      <w:r>
        <w:rPr>
          <w:rFonts w:hint="eastAsia" w:ascii="楷体" w:hAnsi="楷体" w:eastAsia="楷体" w:cs="楷体"/>
          <w:color w:val="000000"/>
          <w:sz w:val="22"/>
          <w:lang w:val="en-US" w:eastAsia="zh-CN"/>
        </w:rPr>
        <w:t xml:space="preserve"> </w:t>
      </w:r>
    </w:p>
    <w:permEnd w:id="7"/>
    <w:p w14:paraId="6A7CF7D8">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如乙方需变更银行账户的，应在结算前三日书面通知甲方。</w:t>
      </w:r>
    </w:p>
    <w:p w14:paraId="5A526380">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商情报告</w:t>
      </w:r>
    </w:p>
    <w:p w14:paraId="010DC9FB">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（一）乙方有权接受客户对甲方服务或产品的意见或申诉，并及时告知甲方。</w:t>
      </w:r>
    </w:p>
    <w:p w14:paraId="56F9056D">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（二）乙方应尽力向甲方提供产品市场和竞争等方面的信息。</w:t>
      </w:r>
    </w:p>
    <w:p w14:paraId="1EB97CB6">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（三）甲方应向乙方提供包括拓展指导、使用说明等重要的信息。甲方还应将产品价格、拓展情况或付款方式的任何变化及时通知乙方。</w:t>
      </w:r>
    </w:p>
    <w:p w14:paraId="1F1250BA">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 xml:space="preserve">推销、宣传与广告 </w:t>
      </w:r>
    </w:p>
    <w:p w14:paraId="7501A2ED">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乙方在征得甲方书面同意并在甲方指导下，可以开展媒体广告的宣传活动。未经甲方书面许可，不得擅自印刷、使用甲方及其关联企业的名称、商标以及企业标识。</w:t>
      </w:r>
    </w:p>
    <w:p w14:paraId="5C836D0B">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监督、培训及风险防范</w:t>
      </w:r>
    </w:p>
    <w:p w14:paraId="18CCD4BA">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（一）甲方应当在不影响乙方正常营业的前提下，定期或不定期对乙方的经营活动进行辅导、检查、监督和考核。</w:t>
      </w:r>
    </w:p>
    <w:p w14:paraId="223D371E">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（二）本协议有效期内，甲方可安排乙方或其指定承担管理职责的人员不定期到甲方进行业务培训。培训费用由甲方负担，但参加培训人员的差旅费由乙方自负。</w:t>
      </w:r>
    </w:p>
    <w:p w14:paraId="1E8D61E9">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（三）在本协议有效期内，甲方应持续地对乙方开展工作提供必需的营销、服务或技术上的指导，并向乙方提供必要的协助。</w:t>
      </w:r>
    </w:p>
    <w:p w14:paraId="4578CD2A">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（四）当乙方发生售后服务要求时，甲方应配合乙方进行客户的售后维护。</w:t>
      </w:r>
    </w:p>
    <w:p w14:paraId="070AE23F">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禁止行为</w:t>
      </w:r>
    </w:p>
    <w:p w14:paraId="311F12A8">
      <w:pPr>
        <w:adjustRightInd w:val="0"/>
        <w:snapToGrid w:val="0"/>
        <w:spacing w:before="156" w:beforeLines="50"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乙方出现下列任何一种情形时，甲方有权暂缓或冻结乙方全部或部分佣金的结算，同时中止与乙方的合作。如乙方在收到甲方通知之日起5个工作日内仍未停止违规操作，甲方有权单方面无条件解除本协议，由此带给甲方的相关损失和风险责任由乙方负责赔偿：</w:t>
      </w:r>
    </w:p>
    <w:p w14:paraId="2B54189F">
      <w:pPr>
        <w:adjustRightInd w:val="0"/>
        <w:snapToGrid w:val="0"/>
        <w:spacing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（一）以虚假资料或冒用资料向甲方申请为服务商；</w:t>
      </w:r>
    </w:p>
    <w:p w14:paraId="57361E8D">
      <w:pPr>
        <w:adjustRightInd w:val="0"/>
        <w:snapToGrid w:val="0"/>
        <w:spacing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（二）</w:t>
      </w:r>
      <w:r>
        <w:rPr>
          <w:rFonts w:hint="eastAsia" w:ascii="楷体" w:hAnsi="楷体" w:eastAsia="楷体" w:cs="楷体"/>
          <w:color w:val="000000"/>
          <w:sz w:val="22"/>
        </w:rPr>
        <w:t>进行虚假推广；</w:t>
      </w:r>
    </w:p>
    <w:p w14:paraId="2EF0A30C">
      <w:pPr>
        <w:adjustRightInd w:val="0"/>
        <w:snapToGrid w:val="0"/>
        <w:spacing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（三）</w:t>
      </w:r>
      <w:r>
        <w:rPr>
          <w:rFonts w:hint="eastAsia" w:ascii="楷体" w:hAnsi="楷体" w:eastAsia="楷体" w:cs="楷体"/>
          <w:color w:val="000000"/>
          <w:sz w:val="22"/>
        </w:rPr>
        <w:t>欺骗客户或收取额外费用等谋取不正当利益的行为；</w:t>
      </w:r>
    </w:p>
    <w:p w14:paraId="770DC585">
      <w:pPr>
        <w:adjustRightInd w:val="0"/>
        <w:snapToGrid w:val="0"/>
        <w:spacing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（四）</w:t>
      </w:r>
      <w:r>
        <w:rPr>
          <w:rFonts w:hint="eastAsia" w:ascii="楷体" w:hAnsi="楷体" w:eastAsia="楷体" w:cs="楷体"/>
          <w:color w:val="000000"/>
          <w:sz w:val="22"/>
        </w:rPr>
        <w:t>利用甲方产品进行非法资金运作或各类扰乱市场之行为；</w:t>
      </w:r>
    </w:p>
    <w:p w14:paraId="108E6A71">
      <w:pPr>
        <w:adjustRightInd w:val="0"/>
        <w:snapToGrid w:val="0"/>
        <w:spacing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（五）</w:t>
      </w:r>
      <w:r>
        <w:rPr>
          <w:rFonts w:hint="eastAsia" w:ascii="楷体" w:hAnsi="楷体" w:eastAsia="楷体" w:cs="楷体"/>
          <w:color w:val="000000"/>
          <w:sz w:val="22"/>
        </w:rPr>
        <w:t>违规拓展甲方产品；</w:t>
      </w:r>
    </w:p>
    <w:p w14:paraId="4B03E8AE">
      <w:pPr>
        <w:pStyle w:val="16"/>
        <w:adjustRightInd w:val="0"/>
        <w:snapToGrid w:val="0"/>
        <w:spacing w:line="288" w:lineRule="auto"/>
        <w:ind w:firstLine="330" w:firstLineChars="150"/>
        <w:jc w:val="left"/>
        <w:rPr>
          <w:rFonts w:hint="eastAsia" w:ascii="楷体" w:hAnsi="楷体" w:eastAsia="楷体" w:cs="楷体"/>
          <w:color w:val="000000"/>
          <w:sz w:val="22"/>
          <w:szCs w:val="22"/>
        </w:rPr>
      </w:pPr>
      <w:r>
        <w:rPr>
          <w:rFonts w:hint="eastAsia" w:ascii="楷体" w:hAnsi="楷体" w:eastAsia="楷体" w:cs="楷体"/>
          <w:sz w:val="22"/>
          <w:szCs w:val="22"/>
        </w:rPr>
        <w:t>（六）</w:t>
      </w:r>
      <w:r>
        <w:rPr>
          <w:rFonts w:hint="eastAsia" w:ascii="楷体" w:hAnsi="楷体" w:eastAsia="楷体" w:cs="楷体"/>
          <w:color w:val="000000"/>
          <w:sz w:val="22"/>
          <w:szCs w:val="22"/>
        </w:rPr>
        <w:t>隐瞒或协助客户隐瞒其真实资料、资金来源以及其他违法违规行为，以获取甲方服务的；</w:t>
      </w:r>
    </w:p>
    <w:p w14:paraId="76052512">
      <w:pPr>
        <w:tabs>
          <w:tab w:val="center" w:pos="4876"/>
          <w:tab w:val="right" w:pos="9752"/>
        </w:tabs>
        <w:adjustRightInd w:val="0"/>
        <w:snapToGrid w:val="0"/>
        <w:spacing w:line="288" w:lineRule="auto"/>
        <w:ind w:firstLine="330" w:firstLineChars="150"/>
        <w:jc w:val="left"/>
        <w:rPr>
          <w:rFonts w:hint="eastAsia" w:ascii="楷体" w:hAnsi="楷体" w:eastAsia="楷体" w:cs="楷体"/>
          <w:color w:val="000000"/>
          <w:sz w:val="22"/>
        </w:rPr>
      </w:pPr>
      <w:r>
        <w:rPr>
          <w:rFonts w:hint="eastAsia" w:ascii="楷体" w:hAnsi="楷体" w:eastAsia="楷体" w:cs="楷体"/>
          <w:sz w:val="22"/>
        </w:rPr>
        <w:t>（七）</w:t>
      </w:r>
      <w:r>
        <w:rPr>
          <w:rFonts w:hint="eastAsia" w:ascii="楷体" w:hAnsi="楷体" w:eastAsia="楷体" w:cs="楷体"/>
          <w:color w:val="000000"/>
          <w:sz w:val="22"/>
        </w:rPr>
        <w:t>从事涉赌、涉黄、套现、洗钱、诈骗及其他违反相关规定的经营活动，或明知、应知客户从事涉赌、涉黄、套现、洗钱、诈骗及其他违反相关规定的经营活动未及时向甲方或有关单位报告。</w:t>
      </w:r>
    </w:p>
    <w:p w14:paraId="17BC6869">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反商业贿赂条款</w:t>
      </w:r>
    </w:p>
    <w:p w14:paraId="1B191141">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双方保证：在与对方洽谈、签约过程中，除基于商业礼仪向对方赠送市场价低于500元的小礼品、地方特产或为方便协议履行而提供工作餐、住宿、交通等便利外，任何一方不得主动或被动的向对方有关工作人员进行任何的商业贿赂，包括但不限于暗中向对方有关工作人员给予金钱、物品或进行其它贿赂行为。</w:t>
      </w:r>
    </w:p>
    <w:p w14:paraId="0FAFFC53">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（二）任何一方违反上述第（一）款保证的，甲、乙双方同意按下列条款执行：</w:t>
      </w:r>
    </w:p>
    <w:p w14:paraId="042BFDE1">
      <w:pPr>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1、守约方有权解除协议并要求违约方赔偿守约方因协议解除而遭受的一切损失。</w:t>
      </w:r>
    </w:p>
    <w:p w14:paraId="7946114B">
      <w:pPr>
        <w:tabs>
          <w:tab w:val="left" w:pos="420"/>
        </w:tabs>
        <w:adjustRightInd w:val="0"/>
        <w:snapToGrid w:val="0"/>
        <w:spacing w:line="288" w:lineRule="auto"/>
        <w:ind w:left="420" w:leftChars="200" w:firstLine="440" w:firstLineChars="200"/>
        <w:rPr>
          <w:rFonts w:hint="eastAsia" w:ascii="楷体" w:hAnsi="楷体" w:eastAsia="楷体" w:cs="楷体"/>
          <w:sz w:val="22"/>
        </w:rPr>
      </w:pPr>
      <w:r>
        <w:rPr>
          <w:rFonts w:hint="eastAsia" w:ascii="楷体" w:hAnsi="楷体" w:eastAsia="楷体" w:cs="楷体"/>
          <w:sz w:val="22"/>
        </w:rPr>
        <w:t>2、若甲方员工要求乙方给其任何形式的不正当利益，乙方须及时向甲方投诉，并提供相关证据给甲方，经甲方查实后作出处理，并为乙方保密。对于乙方的协助，甲方将根据情况给予更多的商业机会，如因乙方协助不力或不配合的，甲方有权随时解除协议。</w:t>
      </w:r>
    </w:p>
    <w:p w14:paraId="7CDDD8A7">
      <w:pPr>
        <w:tabs>
          <w:tab w:val="left" w:pos="420"/>
        </w:tabs>
        <w:adjustRightInd w:val="0"/>
        <w:snapToGrid w:val="0"/>
        <w:spacing w:line="288" w:lineRule="auto"/>
        <w:ind w:left="420" w:leftChars="200" w:firstLine="440" w:firstLineChars="200"/>
        <w:rPr>
          <w:rFonts w:hint="eastAsia" w:ascii="楷体" w:hAnsi="楷体" w:eastAsia="楷体" w:cs="楷体"/>
          <w:sz w:val="22"/>
        </w:rPr>
      </w:pPr>
      <w:r>
        <w:rPr>
          <w:rFonts w:hint="eastAsia" w:ascii="楷体" w:hAnsi="楷体" w:eastAsia="楷体" w:cs="楷体"/>
          <w:sz w:val="22"/>
        </w:rPr>
        <w:t>3、违约方承担违约责任，除履行上述第1项约定外，违约方还须额外向守约方赔付贿赂金额的2倍资金作为违约金。</w:t>
      </w:r>
    </w:p>
    <w:p w14:paraId="5BEC2BA6">
      <w:pPr>
        <w:tabs>
          <w:tab w:val="left" w:pos="420"/>
        </w:tabs>
        <w:adjustRightInd w:val="0"/>
        <w:snapToGrid w:val="0"/>
        <w:spacing w:line="288" w:lineRule="auto"/>
        <w:ind w:left="420" w:leftChars="200" w:firstLine="440" w:firstLineChars="200"/>
        <w:rPr>
          <w:rFonts w:hint="eastAsia" w:ascii="楷体" w:hAnsi="楷体" w:eastAsia="楷体" w:cs="楷体"/>
          <w:sz w:val="22"/>
        </w:rPr>
      </w:pPr>
      <w:r>
        <w:rPr>
          <w:rFonts w:hint="eastAsia" w:ascii="楷体" w:hAnsi="楷体" w:eastAsia="楷体" w:cs="楷体"/>
          <w:sz w:val="22"/>
        </w:rPr>
        <w:t>4、任何一方对另一方有关工作人员的商业贿赂行为，构成刑事犯罪的，均有向国家检察机关举报的权利。</w:t>
      </w:r>
    </w:p>
    <w:p w14:paraId="51F8B2DB">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（三）除前条第1、2项外，不排除守约方通过公司制度及相关法律规定追究违约方或违约方公司内部责任人员的相关责任。</w:t>
      </w:r>
    </w:p>
    <w:p w14:paraId="19FD438B">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协议转让</w:t>
      </w:r>
    </w:p>
    <w:p w14:paraId="3E91D95B">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在本协议有效期内，乙方应当独立自主地经营推广业务，禁止在未取得甲方书面同意的情况下将推广拓展业务全部或部分转移给第三人经营管理。</w:t>
      </w:r>
    </w:p>
    <w:p w14:paraId="6C78B1E1">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协议变更</w:t>
      </w:r>
    </w:p>
    <w:p w14:paraId="041398E1">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color w:val="000000"/>
          <w:sz w:val="22"/>
        </w:rPr>
        <w:t>（一）为适应市场竞争和风险防范的需要，甲方有权对本协议进行适当变更，如乙方对变更内容有重大异议可协商终止此协议，异议应在通知变更后三日内以书面方式向甲方提出，否则视为乙方同意变更。</w:t>
      </w:r>
    </w:p>
    <w:p w14:paraId="72C40BB7">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（二）甲方应当将协议变更的原因、可行性及有关事项，在规定的变更时间前三天通知乙方。</w:t>
      </w:r>
    </w:p>
    <w:p w14:paraId="450A96D4">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（三）在本协议期满续订协议时，甲方有权以新制定的拓展推广协议代替本协议。对本协议的修订应基于合理和善意的准则。</w:t>
      </w:r>
    </w:p>
    <w:p w14:paraId="7C65A60C">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协议终止</w:t>
      </w:r>
    </w:p>
    <w:p w14:paraId="521A4598">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（一）本协议因下列情况而终止：</w:t>
      </w:r>
    </w:p>
    <w:p w14:paraId="34C03AF3">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1、协议期限届满，甲乙双方不再续签本协议；</w:t>
      </w:r>
    </w:p>
    <w:p w14:paraId="17DA1A7F">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2、甲乙双方通过书面协议解除本协议；</w:t>
      </w:r>
    </w:p>
    <w:p w14:paraId="6B251326">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3、因不可抗力致使协议目的不能实现的；</w:t>
      </w:r>
    </w:p>
    <w:p w14:paraId="46351C05">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4、因协议履行产生重大纠纷，进行仲裁、诉讼的；</w:t>
      </w:r>
    </w:p>
    <w:p w14:paraId="66677E48">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5、一方宣告破产或宣告解散；</w:t>
      </w:r>
    </w:p>
    <w:p w14:paraId="71C24F3F">
      <w:pPr>
        <w:tabs>
          <w:tab w:val="left" w:pos="0"/>
        </w:tabs>
        <w:adjustRightInd w:val="0"/>
        <w:snapToGrid w:val="0"/>
        <w:spacing w:line="288" w:lineRule="auto"/>
        <w:ind w:firstLine="880" w:firstLineChars="400"/>
        <w:rPr>
          <w:rFonts w:hint="eastAsia" w:ascii="楷体" w:hAnsi="楷体" w:eastAsia="楷体" w:cs="楷体"/>
          <w:sz w:val="22"/>
        </w:rPr>
      </w:pPr>
      <w:r>
        <w:rPr>
          <w:rFonts w:hint="eastAsia" w:ascii="楷体" w:hAnsi="楷体" w:eastAsia="楷体" w:cs="楷体"/>
          <w:sz w:val="22"/>
        </w:rPr>
        <w:t>6、法院、政府等行政行为要求乙方终止营业。</w:t>
      </w:r>
    </w:p>
    <w:p w14:paraId="725D0E55">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（二）本协议终止后，乙方应立即停止使用与推广拓展有关的甲方任何的标识及知识产权。</w:t>
      </w:r>
    </w:p>
    <w:p w14:paraId="66B911FE">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（三）乙方应在本协议终止之日起15日内返还甲方为履行本协议而提供的所有物品，包括各类文件及其副本或其他任何复制品。</w:t>
      </w:r>
    </w:p>
    <w:p w14:paraId="497370E0">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协议解除</w:t>
      </w:r>
    </w:p>
    <w:p w14:paraId="09973311">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乙方有下列行为之一的，甲方有权书面通知其更正，乙方应在接到通知后5日内更正，逾期未更正的，甲方有权书面通知单方解除协议，解除协议的通知在到达乙方时生效：</w:t>
      </w:r>
    </w:p>
    <w:p w14:paraId="50B4863E">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（一）推广拓展其他产品或服务给甲方造成重大损失的；</w:t>
      </w:r>
    </w:p>
    <w:p w14:paraId="55ABA75D">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（二）因管理和服务问题引起大量投诉或被主要媒体曝光批评，严重损害甲方经营体系的商誉；</w:t>
      </w:r>
    </w:p>
    <w:p w14:paraId="068C5403">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（三）未经甲方事先书面同意擅自全部或部分转让本协议；</w:t>
      </w:r>
    </w:p>
    <w:p w14:paraId="4330490C">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（四）故意向第三人泄露甲方的商业秘密的；</w:t>
      </w:r>
    </w:p>
    <w:p w14:paraId="5A991F64">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（五）故意向甲方报告错误的或误导性的信息；</w:t>
      </w:r>
    </w:p>
    <w:p w14:paraId="2D614DA1">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（六）违反竞业禁止的规定参与竞争的；</w:t>
      </w:r>
    </w:p>
    <w:p w14:paraId="24770A99">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（七）连续六个月未能完成拓展指标，受到甲方三次以上处罚，仍未能改正的；</w:t>
      </w:r>
    </w:p>
    <w:p w14:paraId="37CA1968">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（八）违反本协议约定或违反诚实信用原则，而导致本协议目的不能实现或造成对方重大损失的行为。</w:t>
      </w:r>
    </w:p>
    <w:p w14:paraId="6E30BA5A">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违约责任</w:t>
      </w:r>
    </w:p>
    <w:p w14:paraId="34E05BF8">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（一）如一方未履行其在本协议项下的全部或部分义务，则该方应对其违约造成的损失负责。违约方的赔偿责任应相当于其它各方因其违约行为而遭受的实际损失。</w:t>
      </w:r>
    </w:p>
    <w:p w14:paraId="5B016D7E">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（二）若未履行本协议系由双方的过错所致，则相关方应根据其过失程度承担各自的责任。</w:t>
      </w:r>
    </w:p>
    <w:p w14:paraId="36157064">
      <w:pPr>
        <w:adjustRightInd w:val="0"/>
        <w:snapToGrid w:val="0"/>
        <w:spacing w:before="156" w:beforeLines="50" w:line="288" w:lineRule="auto"/>
        <w:ind w:firstLine="330" w:firstLineChars="150"/>
        <w:rPr>
          <w:rFonts w:hint="eastAsia" w:ascii="楷体" w:hAnsi="楷体" w:eastAsia="楷体" w:cs="楷体"/>
          <w:color w:val="000000"/>
          <w:sz w:val="22"/>
        </w:rPr>
      </w:pPr>
      <w:r>
        <w:rPr>
          <w:rFonts w:hint="eastAsia" w:ascii="楷体" w:hAnsi="楷体" w:eastAsia="楷体" w:cs="楷体"/>
          <w:sz w:val="22"/>
        </w:rPr>
        <w:t>（三）因</w:t>
      </w:r>
      <w:r>
        <w:rPr>
          <w:rFonts w:hint="eastAsia" w:ascii="楷体" w:hAnsi="楷体" w:eastAsia="楷体" w:cs="楷体"/>
          <w:color w:val="000000"/>
          <w:sz w:val="22"/>
        </w:rPr>
        <w:t>乙方的违约行为导致本协议解除的，甲方有权要求乙方赔偿所有损失。</w:t>
      </w:r>
    </w:p>
    <w:p w14:paraId="4C60571B">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保密</w:t>
      </w:r>
    </w:p>
    <w:p w14:paraId="3615CB79">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条款在协议终止时继续有效。</w:t>
      </w:r>
    </w:p>
    <w:p w14:paraId="0244D0DD">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通知</w:t>
      </w:r>
    </w:p>
    <w:p w14:paraId="049A1390">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根据本协议需要一方向另一方发出的全部通知以及双方的文件往来及与本协议有关的通知和要求等，必须用书面形式，可采用书信、传真、电报、当面送交等方式传递。但甲方发布的拓展政策等各类信息，可采取网站和店内公告的形式送达。</w:t>
      </w:r>
    </w:p>
    <w:p w14:paraId="590AC48D">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（二）一方变更通知或通讯地址，应自变更之日起3日内，以书面形式通知对方；否则，由未通知方承担由此而引起的相关责任。</w:t>
      </w:r>
    </w:p>
    <w:p w14:paraId="40134C3F">
      <w:pPr>
        <w:numPr>
          <w:ilvl w:val="0"/>
          <w:numId w:val="1"/>
        </w:numPr>
        <w:adjustRightInd w:val="0"/>
        <w:snapToGrid w:val="0"/>
        <w:spacing w:before="156" w:beforeLines="50" w:line="288" w:lineRule="auto"/>
        <w:ind w:firstLine="0"/>
        <w:rPr>
          <w:rFonts w:hint="eastAsia" w:ascii="楷体" w:hAnsi="楷体" w:eastAsia="楷体" w:cs="楷体"/>
          <w:sz w:val="22"/>
        </w:rPr>
      </w:pPr>
      <w:r>
        <w:rPr>
          <w:rFonts w:hint="eastAsia" w:ascii="楷体" w:hAnsi="楷体" w:eastAsia="楷体" w:cs="楷体"/>
          <w:b/>
          <w:sz w:val="22"/>
        </w:rPr>
        <w:t>争议的处理</w:t>
      </w:r>
    </w:p>
    <w:p w14:paraId="5F27CCDE">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（一）本协议受中华人民共和国法律管辖并按其进行解释。</w:t>
      </w:r>
    </w:p>
    <w:p w14:paraId="3758D84B">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（二）因履行本协议引起的或与本协议有关的争议，双方应首先通过友好协商解决，如果协商不能解决争议，双方同意于甲方住所地有管辖权的人民法院诉讼解决。</w:t>
      </w:r>
    </w:p>
    <w:p w14:paraId="66DFCCC2">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不可抗力</w:t>
      </w:r>
    </w:p>
    <w:p w14:paraId="0B2501B7">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声称受到不可抗力事件影响的一方应尽可能在最短的时间内通过书面形式将不可抗力事件的发生通知另一方，并在该不可抗力事件发生后十五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不可抗力发生后，甲乙双方应协商一致中止或终止履行本协议，并免除发生不可抗力一方的违约责任。</w:t>
      </w:r>
    </w:p>
    <w:p w14:paraId="1BAF5056">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补充与附件</w:t>
      </w:r>
    </w:p>
    <w:p w14:paraId="795B74B4">
      <w:pPr>
        <w:adjustRightInd w:val="0"/>
        <w:snapToGrid w:val="0"/>
        <w:spacing w:before="156" w:beforeLines="50" w:line="288" w:lineRule="auto"/>
        <w:ind w:firstLine="440" w:firstLineChars="200"/>
        <w:rPr>
          <w:rFonts w:hint="eastAsia" w:ascii="楷体" w:hAnsi="楷体" w:eastAsia="楷体" w:cs="楷体"/>
          <w:sz w:val="22"/>
        </w:rPr>
      </w:pPr>
      <w:r>
        <w:rPr>
          <w:rFonts w:hint="eastAsia" w:ascii="楷体" w:hAnsi="楷体" w:eastAsia="楷体" w:cs="楷体"/>
          <w:sz w:val="22"/>
        </w:rPr>
        <w:t>本协议未尽事宜，甲乙双方可以达成书面补充协议。本协议和补充协议均为本协议不可分割的组成部分，与本协议具有同等的法律效力。</w:t>
      </w:r>
    </w:p>
    <w:p w14:paraId="178A85B7">
      <w:pPr>
        <w:numPr>
          <w:ilvl w:val="0"/>
          <w:numId w:val="1"/>
        </w:numPr>
        <w:adjustRightInd w:val="0"/>
        <w:snapToGrid w:val="0"/>
        <w:spacing w:before="156" w:beforeLines="50" w:line="288" w:lineRule="auto"/>
        <w:ind w:firstLine="0"/>
        <w:rPr>
          <w:rFonts w:hint="eastAsia" w:ascii="楷体" w:hAnsi="楷体" w:eastAsia="楷体" w:cs="楷体"/>
          <w:b/>
          <w:sz w:val="22"/>
        </w:rPr>
      </w:pPr>
      <w:r>
        <w:rPr>
          <w:rFonts w:hint="eastAsia" w:ascii="楷体" w:hAnsi="楷体" w:eastAsia="楷体" w:cs="楷体"/>
          <w:b/>
          <w:sz w:val="22"/>
        </w:rPr>
        <w:t>协议的效力</w:t>
      </w:r>
    </w:p>
    <w:p w14:paraId="0237B785">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（一）本协议自双方法定代表人或其授权代表人签字并加盖双方公章或合同专用章之日起生效。</w:t>
      </w:r>
    </w:p>
    <w:p w14:paraId="2D480CD8">
      <w:pPr>
        <w:adjustRightInd w:val="0"/>
        <w:snapToGrid w:val="0"/>
        <w:spacing w:before="156" w:beforeLines="50" w:line="288" w:lineRule="auto"/>
        <w:ind w:firstLine="330" w:firstLineChars="150"/>
        <w:rPr>
          <w:rFonts w:hint="eastAsia" w:ascii="楷体" w:hAnsi="楷体" w:eastAsia="楷体" w:cs="楷体"/>
          <w:sz w:val="22"/>
        </w:rPr>
      </w:pPr>
      <w:r>
        <w:rPr>
          <w:rFonts w:hint="eastAsia" w:ascii="楷体" w:hAnsi="楷体" w:eastAsia="楷体" w:cs="楷体"/>
          <w:sz w:val="22"/>
        </w:rPr>
        <w:t>（二）有效期为一年。本协议到期终止，如双方无异议，自动顺延一年，顺延次数不限。任何一方如无意继续合作，应于本协议到期前30日书面通知另一方。</w:t>
      </w:r>
    </w:p>
    <w:p w14:paraId="7E02A492">
      <w:pPr>
        <w:adjustRightInd w:val="0"/>
        <w:snapToGrid w:val="0"/>
        <w:spacing w:before="156" w:beforeLines="50" w:line="288" w:lineRule="auto"/>
        <w:ind w:firstLine="330" w:firstLineChars="150"/>
        <w:rPr>
          <w:rFonts w:hint="eastAsia" w:ascii="楷体" w:hAnsi="楷体" w:eastAsia="楷体" w:cs="楷体"/>
          <w:b/>
          <w:color w:val="000000"/>
          <w:sz w:val="22"/>
        </w:rPr>
      </w:pPr>
      <w:r>
        <w:rPr>
          <w:rFonts w:hint="eastAsia" w:ascii="楷体" w:hAnsi="楷体" w:eastAsia="楷体" w:cs="楷体"/>
          <w:sz w:val="22"/>
        </w:rPr>
        <w:t>（三）本协议一式贰份，甲乙双方各执壹份，具有同等法律效力。</w:t>
      </w:r>
    </w:p>
    <w:p w14:paraId="0CA457FA">
      <w:pPr>
        <w:tabs>
          <w:tab w:val="left" w:pos="-900"/>
          <w:tab w:val="left" w:pos="-540"/>
          <w:tab w:val="left" w:pos="0"/>
        </w:tabs>
        <w:adjustRightInd w:val="0"/>
        <w:snapToGrid w:val="0"/>
        <w:spacing w:line="288" w:lineRule="auto"/>
        <w:jc w:val="center"/>
        <w:rPr>
          <w:rFonts w:hint="eastAsia" w:ascii="楷体" w:hAnsi="楷体" w:eastAsia="楷体" w:cs="楷体"/>
          <w:b/>
          <w:color w:val="000000"/>
          <w:sz w:val="22"/>
        </w:rPr>
      </w:pPr>
    </w:p>
    <w:p w14:paraId="492E018D">
      <w:pPr>
        <w:tabs>
          <w:tab w:val="left" w:pos="-900"/>
          <w:tab w:val="left" w:pos="-540"/>
          <w:tab w:val="left" w:pos="0"/>
        </w:tabs>
        <w:adjustRightInd w:val="0"/>
        <w:snapToGrid w:val="0"/>
        <w:spacing w:line="288" w:lineRule="auto"/>
        <w:jc w:val="center"/>
        <w:rPr>
          <w:rFonts w:hint="eastAsia" w:ascii="楷体" w:hAnsi="楷体" w:eastAsia="楷体" w:cs="楷体"/>
          <w:b/>
          <w:color w:val="000000"/>
          <w:sz w:val="22"/>
        </w:rPr>
      </w:pPr>
    </w:p>
    <w:p w14:paraId="000687CD">
      <w:pPr>
        <w:tabs>
          <w:tab w:val="left" w:pos="-900"/>
          <w:tab w:val="left" w:pos="-540"/>
          <w:tab w:val="left" w:pos="0"/>
        </w:tabs>
        <w:adjustRightInd w:val="0"/>
        <w:snapToGrid w:val="0"/>
        <w:spacing w:line="288" w:lineRule="auto"/>
        <w:jc w:val="center"/>
        <w:rPr>
          <w:rFonts w:hint="eastAsia" w:ascii="楷体" w:hAnsi="楷体" w:eastAsia="楷体" w:cs="楷体"/>
          <w:b/>
          <w:color w:val="000000"/>
          <w:sz w:val="22"/>
        </w:rPr>
      </w:pPr>
      <w:r>
        <w:rPr>
          <w:rFonts w:hint="eastAsia" w:ascii="楷体" w:hAnsi="楷体" w:eastAsia="楷体" w:cs="楷体"/>
          <w:b/>
          <w:color w:val="000000"/>
          <w:sz w:val="22"/>
        </w:rPr>
        <w:t>（以下无正文，为签署页）</w:t>
      </w:r>
    </w:p>
    <w:p w14:paraId="19EC1BB4">
      <w:pPr>
        <w:tabs>
          <w:tab w:val="left" w:pos="-900"/>
          <w:tab w:val="left" w:pos="-540"/>
          <w:tab w:val="left" w:pos="0"/>
        </w:tabs>
        <w:adjustRightInd w:val="0"/>
        <w:snapToGrid w:val="0"/>
        <w:spacing w:line="288" w:lineRule="auto"/>
        <w:ind w:firstLine="442" w:firstLineChars="200"/>
        <w:rPr>
          <w:rFonts w:hint="eastAsia" w:ascii="楷体" w:hAnsi="楷体" w:eastAsia="楷体" w:cs="楷体"/>
          <w:b/>
          <w:color w:val="000000"/>
          <w:sz w:val="22"/>
        </w:rPr>
      </w:pPr>
      <w:r>
        <w:rPr>
          <w:rFonts w:hint="eastAsia" w:ascii="楷体" w:hAnsi="楷体" w:eastAsia="楷体" w:cs="楷体"/>
          <w:b/>
          <w:color w:val="000000"/>
          <w:sz w:val="22"/>
        </w:rPr>
        <w:t>甲方（盖章）：</w:t>
      </w:r>
      <w:permStart w:id="8" w:edGrp="everyone"/>
      <w:r>
        <w:rPr>
          <w:rFonts w:hint="eastAsia" w:ascii="楷体" w:hAnsi="楷体" w:eastAsia="楷体" w:cs="楷体"/>
          <w:b/>
          <w:color w:val="000000"/>
          <w:sz w:val="22"/>
          <w:lang w:val="en-US" w:eastAsia="zh-CN"/>
        </w:rPr>
        <w:t xml:space="preserve">   </w:t>
      </w:r>
      <w:permEnd w:id="8"/>
      <w:r>
        <w:rPr>
          <w:rFonts w:hint="eastAsia" w:ascii="楷体" w:hAnsi="楷体" w:eastAsia="楷体" w:cs="楷体"/>
          <w:b/>
          <w:color w:val="000000"/>
          <w:sz w:val="22"/>
        </w:rPr>
        <w:t xml:space="preserve">   </w:t>
      </w:r>
      <w:r>
        <w:rPr>
          <w:rFonts w:hint="eastAsia" w:ascii="楷体" w:hAnsi="楷体" w:eastAsia="楷体" w:cs="楷体"/>
          <w:color w:val="000000"/>
          <w:sz w:val="22"/>
        </w:rPr>
        <w:t xml:space="preserve">      </w:t>
      </w:r>
      <w:r>
        <w:rPr>
          <w:rFonts w:hint="eastAsia" w:ascii="楷体" w:hAnsi="楷体" w:eastAsia="楷体" w:cs="楷体"/>
          <w:color w:val="000000"/>
          <w:sz w:val="22"/>
          <w:lang w:val="en-US" w:eastAsia="zh-CN"/>
        </w:rPr>
        <w:t xml:space="preserve">      </w:t>
      </w:r>
    </w:p>
    <w:p w14:paraId="60014AE3">
      <w:pPr>
        <w:adjustRightInd w:val="0"/>
        <w:snapToGrid w:val="0"/>
        <w:spacing w:line="288" w:lineRule="auto"/>
        <w:ind w:firstLine="420" w:firstLineChars="200"/>
        <w:rPr>
          <w:rFonts w:hint="eastAsia" w:ascii="宋体" w:hAnsi="宋体" w:eastAsia="宋体" w:cs="宋体"/>
          <w:color w:val="A5A5A5"/>
          <w:sz w:val="21"/>
          <w:szCs w:val="21"/>
          <w:lang w:val="zh-Hans" w:eastAsia="zh-CN"/>
        </w:rPr>
      </w:pPr>
    </w:p>
    <w:p w14:paraId="4625E85A">
      <w:pPr>
        <w:adjustRightInd w:val="0"/>
        <w:snapToGrid w:val="0"/>
        <w:spacing w:line="288" w:lineRule="auto"/>
        <w:ind w:firstLine="420" w:firstLineChars="200"/>
        <w:rPr>
          <w:rFonts w:hint="eastAsia" w:ascii="楷体" w:hAnsi="楷体" w:eastAsia="楷体" w:cs="楷体"/>
          <w:color w:val="000000"/>
          <w:sz w:val="22"/>
        </w:rPr>
      </w:pPr>
      <w:r>
        <w:rPr>
          <w:rFonts w:hint="eastAsia" w:ascii="宋体" w:hAnsi="宋体" w:eastAsia="宋体" w:cs="宋体"/>
          <w:color w:val="A5A5A5"/>
          <w:sz w:val="21"/>
          <w:szCs w:val="21"/>
          <w:lang w:val="zh-Hans" w:eastAsia="zh-CN"/>
        </w:rPr>
        <w:t>（请</w:t>
      </w:r>
      <w:r>
        <w:rPr>
          <w:rFonts w:hint="eastAsia" w:ascii="宋体" w:hAnsi="宋体" w:eastAsia="宋体" w:cs="宋体"/>
          <w:color w:val="A5A5A5"/>
          <w:sz w:val="21"/>
          <w:szCs w:val="21"/>
          <w:lang w:val="en-US" w:eastAsia="zh-CN"/>
        </w:rPr>
        <w:t>甲</w:t>
      </w:r>
      <w:r>
        <w:rPr>
          <w:rFonts w:hint="eastAsia" w:ascii="宋体" w:hAnsi="宋体" w:eastAsia="宋体" w:cs="宋体"/>
          <w:color w:val="A5A5A5"/>
          <w:sz w:val="21"/>
          <w:szCs w:val="21"/>
          <w:lang w:val="zh-Hans" w:eastAsia="zh-CN"/>
        </w:rPr>
        <w:t>方在此处盖章）</w:t>
      </w:r>
    </w:p>
    <w:p w14:paraId="3C3E6EB8">
      <w:pPr>
        <w:adjustRightInd w:val="0"/>
        <w:snapToGrid w:val="0"/>
        <w:spacing w:line="288" w:lineRule="auto"/>
        <w:ind w:firstLine="440" w:firstLineChars="200"/>
        <w:rPr>
          <w:rFonts w:hint="eastAsia" w:ascii="楷体" w:hAnsi="楷体" w:eastAsia="楷体" w:cs="楷体"/>
          <w:color w:val="000000"/>
          <w:sz w:val="22"/>
        </w:rPr>
      </w:pPr>
    </w:p>
    <w:p w14:paraId="762F9450">
      <w:pPr>
        <w:adjustRightInd w:val="0"/>
        <w:snapToGrid w:val="0"/>
        <w:spacing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日期：</w:t>
      </w:r>
      <w:permStart w:id="9" w:edGrp="everyone"/>
      <w:r>
        <w:rPr>
          <w:rFonts w:hint="eastAsia" w:ascii="楷体" w:hAnsi="楷体" w:eastAsia="楷体" w:cs="楷体"/>
          <w:color w:val="000000"/>
          <w:sz w:val="22"/>
        </w:rPr>
        <w:t xml:space="preserve"> </w:t>
      </w:r>
      <w:r>
        <w:rPr>
          <w:rFonts w:hint="eastAsia" w:ascii="宋体" w:hAnsi="宋体" w:eastAsia="宋体" w:cs="宋体"/>
          <w:color w:val="EEECE1"/>
          <w:sz w:val="11"/>
          <w:szCs w:val="11"/>
          <w:lang w:val="zh-Hans" w:eastAsia="zh-Hans"/>
        </w:rPr>
        <w:t>SignD</w:t>
      </w:r>
      <w:r>
        <w:rPr>
          <w:rFonts w:hint="eastAsia" w:ascii="楷体" w:hAnsi="楷体" w:eastAsia="楷体" w:cs="楷体"/>
          <w:color w:val="000000"/>
          <w:sz w:val="22"/>
        </w:rPr>
        <w:t xml:space="preserve"> </w:t>
      </w:r>
      <w:permEnd w:id="9"/>
      <w:r>
        <w:rPr>
          <w:rFonts w:hint="eastAsia" w:ascii="楷体" w:hAnsi="楷体" w:eastAsia="楷体" w:cs="楷体"/>
          <w:color w:val="000000"/>
          <w:sz w:val="22"/>
        </w:rPr>
        <w:t xml:space="preserve">                               </w:t>
      </w:r>
    </w:p>
    <w:p w14:paraId="52D602CA">
      <w:pPr>
        <w:rPr>
          <w:rFonts w:hint="eastAsia" w:ascii="楷体" w:hAnsi="楷体" w:eastAsia="楷体" w:cs="楷体"/>
          <w:color w:val="000000"/>
          <w:sz w:val="22"/>
        </w:rPr>
      </w:pPr>
    </w:p>
    <w:p w14:paraId="24F55B46">
      <w:pPr>
        <w:rPr>
          <w:rFonts w:hint="eastAsia" w:ascii="楷体" w:hAnsi="楷体" w:eastAsia="楷体" w:cs="楷体"/>
          <w:color w:val="000000"/>
          <w:sz w:val="22"/>
        </w:rPr>
      </w:pPr>
    </w:p>
    <w:p w14:paraId="28F71158">
      <w:pPr>
        <w:tabs>
          <w:tab w:val="left" w:pos="-900"/>
          <w:tab w:val="left" w:pos="-540"/>
          <w:tab w:val="left" w:pos="0"/>
        </w:tabs>
        <w:adjustRightInd w:val="0"/>
        <w:snapToGrid w:val="0"/>
        <w:spacing w:line="288" w:lineRule="auto"/>
        <w:ind w:firstLine="442" w:firstLineChars="200"/>
        <w:rPr>
          <w:rFonts w:hint="eastAsia" w:ascii="楷体" w:hAnsi="楷体" w:eastAsia="楷体" w:cs="楷体"/>
          <w:b/>
          <w:color w:val="000000"/>
          <w:sz w:val="22"/>
          <w:lang w:eastAsia="zh-CN"/>
        </w:rPr>
      </w:pPr>
      <w:r>
        <w:rPr>
          <w:rFonts w:hint="eastAsia" w:ascii="楷体" w:hAnsi="楷体" w:eastAsia="楷体" w:cs="楷体"/>
          <w:b/>
          <w:color w:val="000000"/>
          <w:sz w:val="22"/>
        </w:rPr>
        <w:t>乙方（签名或盖章）：</w:t>
      </w:r>
      <w:permStart w:id="10" w:edGrp="everyone"/>
      <w:r>
        <w:rPr>
          <w:rFonts w:hint="eastAsia" w:ascii="楷体" w:hAnsi="楷体" w:eastAsia="楷体" w:cs="楷体"/>
          <w:b/>
          <w:color w:val="000000"/>
          <w:sz w:val="22"/>
          <w:lang w:val="en-US" w:eastAsia="zh-CN"/>
        </w:rPr>
        <w:t xml:space="preserve"> </w:t>
      </w:r>
      <w:bookmarkStart w:id="2" w:name="_GoBack"/>
      <w:bookmarkEnd w:id="2"/>
    </w:p>
    <w:permEnd w:id="10"/>
    <w:p w14:paraId="3439EEF9">
      <w:pPr>
        <w:pStyle w:val="9"/>
        <w:spacing w:line="360" w:lineRule="auto"/>
        <w:ind w:firstLine="0" w:firstLineChars="0"/>
        <w:rPr>
          <w:rFonts w:hint="eastAsia" w:ascii="宋体" w:hAnsi="宋体" w:eastAsia="宋体" w:cs="宋体"/>
          <w:color w:val="A5A5A5"/>
          <w:sz w:val="21"/>
          <w:szCs w:val="21"/>
          <w:lang w:val="zh-Hans" w:eastAsia="zh-CN"/>
        </w:rPr>
      </w:pPr>
    </w:p>
    <w:p w14:paraId="17585DCF">
      <w:pPr>
        <w:pStyle w:val="9"/>
        <w:spacing w:line="360" w:lineRule="auto"/>
        <w:ind w:firstLine="420" w:firstLineChars="0"/>
        <w:rPr>
          <w:rFonts w:hint="eastAsia" w:ascii="宋体" w:hAnsi="宋体" w:eastAsia="宋体" w:cs="宋体"/>
          <w:color w:val="auto"/>
          <w:sz w:val="21"/>
          <w:szCs w:val="21"/>
          <w:lang w:val="zh-Hans" w:eastAsia="zh-CN"/>
        </w:rPr>
      </w:pPr>
      <w:r>
        <w:rPr>
          <w:rFonts w:hint="eastAsia" w:ascii="宋体" w:hAnsi="宋体" w:eastAsia="宋体" w:cs="宋体"/>
          <w:color w:val="A5A5A5"/>
          <w:sz w:val="21"/>
          <w:szCs w:val="21"/>
          <w:lang w:val="zh-Hans" w:eastAsia="zh-CN"/>
        </w:rPr>
        <w:t>（请</w:t>
      </w:r>
      <w:r>
        <w:rPr>
          <w:rFonts w:hint="eastAsia" w:ascii="宋体" w:hAnsi="宋体" w:cs="宋体"/>
          <w:color w:val="A5A5A5"/>
          <w:sz w:val="21"/>
          <w:szCs w:val="21"/>
          <w:lang w:val="en-US" w:eastAsia="zh-CN"/>
        </w:rPr>
        <w:t>乙</w:t>
      </w:r>
      <w:r>
        <w:rPr>
          <w:rFonts w:hint="eastAsia" w:ascii="宋体" w:hAnsi="宋体" w:eastAsia="宋体" w:cs="宋体"/>
          <w:color w:val="A5A5A5"/>
          <w:sz w:val="21"/>
          <w:szCs w:val="21"/>
          <w:lang w:val="zh-Hans" w:eastAsia="zh-CN"/>
        </w:rPr>
        <w:t>方在此处盖章）</w:t>
      </w:r>
    </w:p>
    <w:p w14:paraId="285CC8FE">
      <w:pPr>
        <w:adjustRightInd w:val="0"/>
        <w:snapToGrid w:val="0"/>
        <w:spacing w:line="288" w:lineRule="auto"/>
        <w:ind w:firstLine="440" w:firstLineChars="200"/>
        <w:rPr>
          <w:rFonts w:hint="eastAsia" w:ascii="楷体" w:hAnsi="楷体" w:eastAsia="楷体" w:cs="楷体"/>
          <w:color w:val="000000"/>
          <w:sz w:val="22"/>
        </w:rPr>
      </w:pPr>
    </w:p>
    <w:p w14:paraId="53ED6FF0">
      <w:pPr>
        <w:adjustRightInd w:val="0"/>
        <w:snapToGrid w:val="0"/>
        <w:spacing w:line="288" w:lineRule="auto"/>
        <w:ind w:firstLine="440" w:firstLineChars="200"/>
        <w:rPr>
          <w:rFonts w:hint="eastAsia" w:ascii="楷体" w:hAnsi="楷体" w:eastAsia="楷体" w:cs="楷体"/>
          <w:color w:val="000000"/>
          <w:sz w:val="22"/>
        </w:rPr>
      </w:pPr>
      <w:r>
        <w:rPr>
          <w:rFonts w:hint="eastAsia" w:ascii="楷体" w:hAnsi="楷体" w:eastAsia="楷体" w:cs="楷体"/>
          <w:color w:val="000000"/>
          <w:sz w:val="22"/>
        </w:rPr>
        <w:t>日期：</w:t>
      </w:r>
      <w:permStart w:id="11" w:edGrp="everyone"/>
      <w:r>
        <w:rPr>
          <w:rFonts w:hint="eastAsia" w:ascii="楷体" w:hAnsi="楷体" w:eastAsia="楷体" w:cs="楷体"/>
          <w:color w:val="000000"/>
          <w:sz w:val="22"/>
        </w:rPr>
        <w:t xml:space="preserve"> </w:t>
      </w:r>
      <w:r>
        <w:rPr>
          <w:rFonts w:hint="eastAsia" w:ascii="宋体" w:hAnsi="宋体" w:eastAsia="宋体" w:cs="宋体"/>
          <w:color w:val="EEECE1"/>
          <w:sz w:val="11"/>
          <w:szCs w:val="11"/>
          <w:lang w:val="zh-Hans" w:eastAsia="zh-Hans"/>
        </w:rPr>
        <w:t>SignD</w:t>
      </w:r>
    </w:p>
    <w:permEnd w:id="11"/>
    <w:p w14:paraId="43140332">
      <w:pPr>
        <w:rPr>
          <w:rFonts w:hint="eastAsia" w:ascii="楷体" w:hAnsi="楷体" w:eastAsia="楷体" w:cs="楷体"/>
          <w:b/>
          <w:bCs/>
          <w:szCs w:val="21"/>
        </w:rPr>
      </w:pPr>
      <w:r>
        <w:rPr>
          <w:rFonts w:hint="eastAsia" w:ascii="楷体" w:hAnsi="楷体" w:eastAsia="楷体" w:cs="楷体"/>
          <w:color w:val="000000"/>
          <w:sz w:val="22"/>
        </w:rPr>
        <w:br w:type="page"/>
      </w:r>
      <w:r>
        <w:rPr>
          <w:rFonts w:hint="eastAsia" w:ascii="楷体" w:hAnsi="楷体" w:eastAsia="楷体" w:cs="楷体"/>
          <w:b/>
          <w:bCs/>
          <w:szCs w:val="21"/>
        </w:rPr>
        <w:t>附件一：《合付宝市场合伙人管理办法》</w:t>
      </w:r>
    </w:p>
    <w:p w14:paraId="448EBD47">
      <w:pPr>
        <w:adjustRightInd w:val="0"/>
        <w:snapToGrid w:val="0"/>
        <w:spacing w:before="156" w:beforeLines="50" w:line="400" w:lineRule="exact"/>
        <w:ind w:firstLine="482" w:firstLineChars="150"/>
        <w:jc w:val="center"/>
        <w:rPr>
          <w:rFonts w:hint="eastAsia" w:ascii="楷体" w:hAnsi="楷体" w:eastAsia="楷体" w:cs="楷体"/>
          <w:b/>
          <w:bCs/>
          <w:sz w:val="32"/>
          <w:szCs w:val="32"/>
        </w:rPr>
      </w:pPr>
      <w:r>
        <w:rPr>
          <w:rFonts w:hint="eastAsia" w:ascii="楷体" w:hAnsi="楷体" w:eastAsia="楷体" w:cs="楷体"/>
          <w:b/>
          <w:bCs/>
          <w:sz w:val="32"/>
          <w:szCs w:val="32"/>
        </w:rPr>
        <w:t>合付宝市场合伙人管理办法</w:t>
      </w:r>
    </w:p>
    <w:p w14:paraId="32EE5129">
      <w:pPr>
        <w:adjustRightInd w:val="0"/>
        <w:snapToGrid w:val="0"/>
        <w:spacing w:before="156" w:beforeLines="50" w:line="400" w:lineRule="exact"/>
        <w:ind w:firstLine="482" w:firstLineChars="150"/>
        <w:jc w:val="center"/>
        <w:rPr>
          <w:rFonts w:hint="eastAsia" w:ascii="楷体" w:hAnsi="楷体" w:eastAsia="楷体" w:cs="楷体"/>
          <w:b/>
          <w:bCs/>
          <w:sz w:val="32"/>
          <w:szCs w:val="32"/>
        </w:rPr>
      </w:pPr>
    </w:p>
    <w:p w14:paraId="1ECF034C">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一、总则 </w:t>
      </w:r>
    </w:p>
    <w:p w14:paraId="0A0DEE3D">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合付宝灵活用工平台通过市场合伙人合作方式拓展市场，为了保证合伙人之间公平竞争、保护合伙人的利益，明确合伙人的准入、动态调整以及相应的退出机制，旨在奖励优胜、淘汰落后，提高合伙人积极性，规范合伙人市场拓展，提升合付宝平台产品的市场竞争能力。特制定以下管理办法。 </w:t>
      </w:r>
    </w:p>
    <w:p w14:paraId="111BC7A0">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二、合伙人基本要求 </w:t>
      </w:r>
    </w:p>
    <w:p w14:paraId="28EAB787">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1．合伙人为合付宝灵活用工平台（以下称“合付宝平台”）的紧密合作伙伴，有义务协助合付宝平台完成客户的拓展、客户关系维护等工作，并接受合付宝平台对客户质量的动态管理。 </w:t>
      </w:r>
    </w:p>
    <w:p w14:paraId="22A7D0CE">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2．代理本公司产品必须签订合伙人业务合作协议，并遵守本制度。合伙人只能在签订的代理授权的产品及规定区域范围（如有）内享受公司代理政策。 </w:t>
      </w:r>
    </w:p>
    <w:p w14:paraId="48DFD5E0">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3．在符合本公司规章制度的前提下，鼓励合伙人公平竞争、拓展市场，不断提高合付宝平台的市场知名度和市场份额。 </w:t>
      </w:r>
    </w:p>
    <w:p w14:paraId="119EA249">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三、准入标准 </w:t>
      </w:r>
    </w:p>
    <w:p w14:paraId="75153030">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1．合伙人必须是在中国大陆注册的合法合规的经营主体或个人。</w:t>
      </w:r>
    </w:p>
    <w:p w14:paraId="17E327AB">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2．合伙人及其推荐的企业客户经营活动中没有违反国家财务、税务政策和法律规定的其他不良记录。企业及企业法人代表未被列入失信被执行人名单。 </w:t>
      </w:r>
    </w:p>
    <w:p w14:paraId="767CFCC0">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3．对业务涉及领域的市场非常了解，在代理区域、行业内具有比较广泛的社会关系和良好的用户资源。 </w:t>
      </w:r>
    </w:p>
    <w:p w14:paraId="38F1880D">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4．合伙人定价标准 </w:t>
      </w:r>
    </w:p>
    <w:p w14:paraId="16060701">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合伙人定价标准以合伙人合同、合付宝平台官方邮箱通知或合付宝财税系统公示为准。 </w:t>
      </w:r>
    </w:p>
    <w:p w14:paraId="1CCB58C4">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合伙人对直客报价不得低于合伙人报价底价，高于合伙人底价部分按协议约定作为代理费返还合伙人。 </w:t>
      </w:r>
    </w:p>
    <w:p w14:paraId="53EB21A3">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5．合伙人推荐的客户不得涉及以下行业或相关业务： </w:t>
      </w:r>
    </w:p>
    <w:p w14:paraId="1D7DBD12">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（1）医药行业：与制药及药厂相关业务模式，涉及非法洗钱，虚开发票的CSO、 CSP 公司不合作； </w:t>
      </w:r>
    </w:p>
    <w:p w14:paraId="379D9309">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（2）互联网彩票行业：目前国家禁止发展互联网售彩，该行业类客户禁止接入； </w:t>
      </w:r>
    </w:p>
    <w:p w14:paraId="204A4A55">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（3）高管避税、股东避税：高管等高收入企业人员双身份避税、股东分红、抽逃出资等； </w:t>
      </w:r>
    </w:p>
    <w:p w14:paraId="55153058">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（4）演员、影视行业：国家监管不得核定征收、避税风险较大； </w:t>
      </w:r>
    </w:p>
    <w:p w14:paraId="11FC4C32">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（5）其他需要许可证书的业务：危险品运输、采矿等； </w:t>
      </w:r>
    </w:p>
    <w:p w14:paraId="5F11C2CF">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（6）其他高风险工种：高空、高温、高风险等保险分类 5 级及 5 级以上的工种； </w:t>
      </w:r>
    </w:p>
    <w:p w14:paraId="2F29C1E3">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（7）没有真实用工场景，虚开发票等国家明文禁止行业； </w:t>
      </w:r>
    </w:p>
    <w:p w14:paraId="6B75C30E">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（8）军人/公职人员；和用工企业具备劳动合同关系的人员；用工企业法定代表人，股东，董事，监事等从用工企业取得的收入，港澳台及外国人士，上述不符合灵活用工业务。 </w:t>
      </w:r>
    </w:p>
    <w:p w14:paraId="465262F1">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6．准入所需材料: </w:t>
      </w:r>
    </w:p>
    <w:p w14:paraId="03E535BD">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在签订代理协议之前，合伙人应向本公司提供以下资料进行资质审核。包括: </w:t>
      </w:r>
    </w:p>
    <w:p w14:paraId="5BACF037">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（1）营业执照副本复印件； </w:t>
      </w:r>
    </w:p>
    <w:p w14:paraId="0EB695AB">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（2）开户许可证（基本账户信息）； </w:t>
      </w:r>
    </w:p>
    <w:p w14:paraId="5BA07A51">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（3）法定代表人身份证复印件； </w:t>
      </w:r>
    </w:p>
    <w:p w14:paraId="213910D5">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（4）合伙人信息采集表。 </w:t>
      </w:r>
    </w:p>
    <w:p w14:paraId="158EAD0F">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四、退出机制 </w:t>
      </w:r>
    </w:p>
    <w:p w14:paraId="45B1A3D6">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合伙人如有以下情况，合付宝平台将终止合作，造成严重后果（包括但不限于资金、 名誉损失）的将进一步追究责任。 </w:t>
      </w:r>
    </w:p>
    <w:p w14:paraId="270CF4FA">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（1）对客户业务真实性、所在行业进行瞒报、造假，提供虚假客户、业务材料，合付宝将终止合作； </w:t>
      </w:r>
    </w:p>
    <w:p w14:paraId="7C106A55">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（2）未经公司允许和报备允许，私自以合付宝工作人员名义对外开展商务合作的合伙人，合付宝平台将终止合作； </w:t>
      </w:r>
    </w:p>
    <w:p w14:paraId="05300AF2">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（3）影响合付宝品牌形象，恶性竞争扰乱市场的合伙人，合付宝平台将终止合作；</w:t>
      </w:r>
    </w:p>
    <w:p w14:paraId="78E75041">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（4）不服从合付宝平台合伙人大客户保护机制协调处理，合付宝平台将终止合作； </w:t>
      </w:r>
    </w:p>
    <w:p w14:paraId="0FF33F1A">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（5）3 个月内受到客户或其他合伙人投诉累计 2 次，并经过合付宝核实属实，合付宝平台将终止合作； </w:t>
      </w:r>
    </w:p>
    <w:p w14:paraId="17CAA12C">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（6）合同终止到期且无继续合作意向的合伙人，合付宝平台将终止合作。 </w:t>
      </w:r>
    </w:p>
    <w:p w14:paraId="586F6771">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五、合伙人保护政策 </w:t>
      </w:r>
    </w:p>
    <w:p w14:paraId="7D4CC8A7">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(1)报备制：合伙人客户采用报备制，合伙人在拓展客户时，需向合付宝平台进行邮件等形式的书面报备，经合付宝平台核准并书面反馈后视为报备成功。报备需提交信息或资料，包括但不限于：客户公司名称，法定代表人代表姓名、预估单月业务规模、客户拓展进度安排、是否需要合付宝平台支持及具体需求说明。报备邮箱为：hfbcs@hefupal.com </w:t>
      </w:r>
    </w:p>
    <w:p w14:paraId="5E4C3A55">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(2)保护期：合伙人客户保护期按报备合付宝平台之日起 30 天内有效。保护期内，合付宝平台不接受其他合伙人针对该客户的报备及签约请求，如保护期内未完成签约，不再享受渠道保护。如合伙人客户从签约之日起30天内无真实交易，其他合伙人可以向该意向客户推广甲方的灵活用工业务。</w:t>
      </w:r>
    </w:p>
    <w:p w14:paraId="4F4402C1">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(3)客户保护：如合伙人已经报备并成功签约并交易的客户，其对客户的定价执行价格保护。未经原合伙人的许可，合付宝平台不再接受其他任何合伙人对客户进行重新报备。如发现其他合伙人有意通过降价或者怂恿客户换签主体等方式进行恶意竞争，将取消其他合伙人代理资质。如因客户投诉，合伙人公司涉及违规行为，或被取消代理资质等情况，合付宝平台将解除其客户绑定关系，回收客户。 </w:t>
      </w:r>
    </w:p>
    <w:p w14:paraId="62846F86">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备注：合伙人已经报备、成功签约且有交易的客户，若签约交易后有连续3个月无交易发生，则合付宝平台不对该客户属于的合伙人进行保护，合付宝平台有权接受其他合伙人对该客户的重新报备。</w:t>
      </w:r>
    </w:p>
    <w:p w14:paraId="54E573C6">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(4)争议处理： </w:t>
      </w:r>
    </w:p>
    <w:p w14:paraId="0787D696">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1 如多个合伙人同时上报，经合付宝平台查实，判定冲突各方项目达成度，以优先报备者为准，各方必须服从合付宝平台作出之最终决定。 </w:t>
      </w:r>
    </w:p>
    <w:p w14:paraId="328852AD">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2 如不服从合付宝平台调剂，根据所属合伙人影响情节严重程度，合付宝平台有权取消合作代理权。 </w:t>
      </w:r>
    </w:p>
    <w:p w14:paraId="51E0B1FF">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3 保护期内，客户可以出具就合付宝平台产品与指定渠道合作意向函的，以客户意向函为准调整报备渠道。意向函中未指明合作意向期限的，合伙人保护期默认为 1 个月。 </w:t>
      </w:r>
    </w:p>
    <w:p w14:paraId="0E83EB0A">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4 为避免合伙人恶意占用大客户资源，合付宝平台视实际情况取消其后续报备资格，情况严重者，合付宝平台有权与其终止合作。 </w:t>
      </w:r>
    </w:p>
    <w:p w14:paraId="11E0CC84">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5 合伙人拓展客户与合付宝自营团队拓展客户冲突时，合付宝平台优先保护合伙人利益。除该客户已经完成与自营团队的签约或客户指定业务关系为合付宝自营。</w:t>
      </w:r>
    </w:p>
    <w:p w14:paraId="1B528441">
      <w:pPr>
        <w:adjustRightInd w:val="0"/>
        <w:snapToGrid w:val="0"/>
        <w:spacing w:before="156" w:beforeLines="50"/>
        <w:ind w:firstLine="316" w:firstLineChars="150"/>
        <w:rPr>
          <w:rFonts w:hint="eastAsia" w:ascii="楷体" w:hAnsi="楷体" w:eastAsia="楷体" w:cs="楷体"/>
          <w:b/>
          <w:bCs/>
          <w:szCs w:val="21"/>
        </w:rPr>
      </w:pPr>
      <w:r>
        <w:rPr>
          <w:rFonts w:hint="eastAsia" w:ascii="楷体" w:hAnsi="楷体" w:eastAsia="楷体" w:cs="楷体"/>
          <w:b/>
          <w:bCs/>
          <w:szCs w:val="21"/>
        </w:rPr>
        <w:t xml:space="preserve">六、合付宝平台向合伙人提供的支持： </w:t>
      </w:r>
    </w:p>
    <w:p w14:paraId="19BDCAED">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(1)培训支持：为合伙人提供全面的产品知识培训、活动策划、营销推广建议。 </w:t>
      </w:r>
    </w:p>
    <w:p w14:paraId="5F8C6F91">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(2)业务支持：建立合伙人对接群，由专业的运营团队提供业务相关问题的处理与支持。 </w:t>
      </w:r>
    </w:p>
    <w:p w14:paraId="386B17E3">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(3)品宣支持：执行统一的合伙人形象标准，提供必要的物料及指引。 </w:t>
      </w:r>
    </w:p>
    <w:p w14:paraId="73871CCE">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（特别提示：合伙人对合付宝平台产品进行线上线下宣传、品牌传播等，需要提前 5 个工作日报备本公司，所有宣传内容必须经本公司确认方可投放。如未经本公司同意或未经内容审批开展线上宣传或商业活动的，本公司将追究其法律责任） </w:t>
      </w:r>
    </w:p>
    <w:p w14:paraId="7582E3D0">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（4）高级合伙人：合伙人年累计贡献业务量超过 3 亿，可向合付宝平台申请成为高级合伙人，高级合伙人享有超级渠道优先支持、客户服务快速通道、渠道优惠价再优惠、资金帮扶计划等待遇，具体政策以提出申请当时标准为准。 </w:t>
      </w:r>
    </w:p>
    <w:p w14:paraId="2F9DCDAD">
      <w:pPr>
        <w:adjustRightInd w:val="0"/>
        <w:snapToGrid w:val="0"/>
        <w:spacing w:before="156" w:beforeLines="50" w:line="360" w:lineRule="auto"/>
        <w:ind w:firstLine="315" w:firstLineChars="150"/>
        <w:rPr>
          <w:rFonts w:hint="eastAsia" w:ascii="楷体" w:hAnsi="楷体" w:eastAsia="楷体" w:cs="楷体"/>
          <w:szCs w:val="21"/>
        </w:rPr>
      </w:pPr>
      <w:r>
        <w:rPr>
          <w:rFonts w:hint="eastAsia" w:ascii="楷体" w:hAnsi="楷体" w:eastAsia="楷体" w:cs="楷体"/>
          <w:szCs w:val="21"/>
        </w:rPr>
        <w:t xml:space="preserve">对于该管理办法及各类政策，合付宝平台保有最终解释权，后续管理规则如有调整，将以合付宝平台官方邮箱 hfbcs@hefupal.com  通知或合伙人管理后台公示为准。本管理办法自双方加盖公章之日起生效，有效期同主协议合作期。 </w:t>
      </w:r>
    </w:p>
    <w:p w14:paraId="70FFA5DD">
      <w:pPr>
        <w:adjustRightInd w:val="0"/>
        <w:snapToGrid w:val="0"/>
        <w:spacing w:before="156" w:beforeLines="50"/>
        <w:ind w:firstLine="315" w:firstLineChars="150"/>
        <w:rPr>
          <w:rFonts w:hint="eastAsia" w:ascii="楷体" w:hAnsi="楷体" w:eastAsia="楷体" w:cs="楷体"/>
          <w:szCs w:val="21"/>
        </w:rPr>
      </w:pPr>
      <w:r>
        <w:rPr>
          <w:rFonts w:hint="eastAsia" w:ascii="楷体" w:hAnsi="楷体" w:eastAsia="楷体" w:cs="楷体"/>
          <w:szCs w:val="21"/>
        </w:rPr>
        <w:t xml:space="preserve">（以下无正文） </w:t>
      </w:r>
    </w:p>
    <w:p w14:paraId="6F7EA740">
      <w:pPr>
        <w:adjustRightInd/>
        <w:snapToGrid/>
        <w:spacing w:line="240" w:lineRule="auto"/>
        <w:rPr>
          <w:rFonts w:hint="eastAsia" w:ascii="楷体" w:hAnsi="楷体" w:eastAsia="楷体" w:cs="楷体"/>
          <w:color w:val="000000"/>
          <w:sz w:val="22"/>
        </w:rPr>
      </w:pPr>
    </w:p>
    <w:sectPr>
      <w:headerReference r:id="rId3" w:type="default"/>
      <w:footerReference r:id="rId4" w:type="default"/>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E608">
    <w:pPr>
      <w:pStyle w:val="5"/>
      <w:jc w:val="center"/>
    </w:pPr>
    <w:sdt>
      <w:sdtPr>
        <w:id w:val="1728636285"/>
      </w:sdtPr>
      <w:sdtContent>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r>
          <w:rPr>
            <w:rFonts w:hint="eastAsia"/>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73E1">
    <w:pPr>
      <w:pStyle w:val="6"/>
      <w:pBdr>
        <w:bottom w:val="single" w:color="auto" w:sz="6" w:space="5"/>
      </w:pBdr>
      <w:tabs>
        <w:tab w:val="left" w:pos="289"/>
        <w:tab w:val="right" w:pos="9758"/>
      </w:tabs>
      <w:jc w:val="right"/>
    </w:pPr>
    <w:r>
      <w:drawing>
        <wp:inline distT="0" distB="0" distL="0" distR="0">
          <wp:extent cx="1069340" cy="3359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5736" cy="3445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F3281"/>
    <w:multiLevelType w:val="singleLevel"/>
    <w:tmpl w:val="93CF3281"/>
    <w:lvl w:ilvl="0" w:tentative="0">
      <w:start w:val="1"/>
      <w:numFmt w:val="chineseCounting"/>
      <w:suff w:val="nothing"/>
      <w:lvlText w:val="（%1）"/>
      <w:lvlJc w:val="left"/>
      <w:rPr>
        <w:rFonts w:hint="eastAsia"/>
      </w:rPr>
    </w:lvl>
  </w:abstractNum>
  <w:abstractNum w:abstractNumId="1">
    <w:nsid w:val="05C917B7"/>
    <w:multiLevelType w:val="multilevel"/>
    <w:tmpl w:val="05C917B7"/>
    <w:lvl w:ilvl="0" w:tentative="0">
      <w:start w:val="1"/>
      <w:numFmt w:val="chineseCountingThousand"/>
      <w:suff w:val="nothing"/>
      <w:lvlText w:val="%1、"/>
      <w:lvlJc w:val="left"/>
      <w:pPr>
        <w:ind w:firstLine="454"/>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82C2D41"/>
    <w:multiLevelType w:val="singleLevel"/>
    <w:tmpl w:val="582C2D41"/>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1+7XBTDZRvroMVT9BLvx0XNzd0A=" w:salt="3GHWJkaTRLy+sZ5jUMNXP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NmRmMGJjNDBjMmJjODVmZmNiMTBmODQzZGRhZDAifQ=="/>
  </w:docVars>
  <w:rsids>
    <w:rsidRoot w:val="0087336D"/>
    <w:rsid w:val="000123B9"/>
    <w:rsid w:val="00016B8F"/>
    <w:rsid w:val="00031221"/>
    <w:rsid w:val="00056ACA"/>
    <w:rsid w:val="000572E3"/>
    <w:rsid w:val="00076E7A"/>
    <w:rsid w:val="000A6259"/>
    <w:rsid w:val="000C5ED0"/>
    <w:rsid w:val="000D14BD"/>
    <w:rsid w:val="000F2A74"/>
    <w:rsid w:val="00114A7C"/>
    <w:rsid w:val="00116138"/>
    <w:rsid w:val="00121990"/>
    <w:rsid w:val="00144BE3"/>
    <w:rsid w:val="0014775D"/>
    <w:rsid w:val="0016519B"/>
    <w:rsid w:val="00172106"/>
    <w:rsid w:val="001749EB"/>
    <w:rsid w:val="00197E1A"/>
    <w:rsid w:val="001A3D79"/>
    <w:rsid w:val="001B6D33"/>
    <w:rsid w:val="001C0C79"/>
    <w:rsid w:val="001D1702"/>
    <w:rsid w:val="001D5247"/>
    <w:rsid w:val="001F733E"/>
    <w:rsid w:val="00205D4B"/>
    <w:rsid w:val="00206B21"/>
    <w:rsid w:val="00207D7D"/>
    <w:rsid w:val="00213134"/>
    <w:rsid w:val="00224CAE"/>
    <w:rsid w:val="00236089"/>
    <w:rsid w:val="00242D06"/>
    <w:rsid w:val="00280049"/>
    <w:rsid w:val="00283091"/>
    <w:rsid w:val="002A45D4"/>
    <w:rsid w:val="002A7448"/>
    <w:rsid w:val="002B1FF0"/>
    <w:rsid w:val="002C0023"/>
    <w:rsid w:val="002D484D"/>
    <w:rsid w:val="002E01CB"/>
    <w:rsid w:val="003015D7"/>
    <w:rsid w:val="00306881"/>
    <w:rsid w:val="003116D2"/>
    <w:rsid w:val="00313CB6"/>
    <w:rsid w:val="00321E50"/>
    <w:rsid w:val="00324EE6"/>
    <w:rsid w:val="003279B1"/>
    <w:rsid w:val="00331CF8"/>
    <w:rsid w:val="00337243"/>
    <w:rsid w:val="00337B33"/>
    <w:rsid w:val="0034019D"/>
    <w:rsid w:val="00351ADC"/>
    <w:rsid w:val="003C0B97"/>
    <w:rsid w:val="003C5B27"/>
    <w:rsid w:val="003C5B71"/>
    <w:rsid w:val="0040441E"/>
    <w:rsid w:val="004613C6"/>
    <w:rsid w:val="00472B4D"/>
    <w:rsid w:val="00484021"/>
    <w:rsid w:val="0049711A"/>
    <w:rsid w:val="004A04EB"/>
    <w:rsid w:val="004A337F"/>
    <w:rsid w:val="004B468A"/>
    <w:rsid w:val="004D3A0F"/>
    <w:rsid w:val="004E3FE8"/>
    <w:rsid w:val="004E7438"/>
    <w:rsid w:val="004F7A68"/>
    <w:rsid w:val="0052200F"/>
    <w:rsid w:val="005338B8"/>
    <w:rsid w:val="00541396"/>
    <w:rsid w:val="00554CDA"/>
    <w:rsid w:val="00580C4E"/>
    <w:rsid w:val="00595636"/>
    <w:rsid w:val="005B2E0E"/>
    <w:rsid w:val="005D2CD2"/>
    <w:rsid w:val="005D58BE"/>
    <w:rsid w:val="005E43FD"/>
    <w:rsid w:val="005F2ACE"/>
    <w:rsid w:val="005F5592"/>
    <w:rsid w:val="005F5BD1"/>
    <w:rsid w:val="0060269A"/>
    <w:rsid w:val="00606549"/>
    <w:rsid w:val="00617658"/>
    <w:rsid w:val="0064147B"/>
    <w:rsid w:val="00642107"/>
    <w:rsid w:val="00660DDE"/>
    <w:rsid w:val="0068398E"/>
    <w:rsid w:val="00694A91"/>
    <w:rsid w:val="006D0B97"/>
    <w:rsid w:val="006D61EC"/>
    <w:rsid w:val="006E00E2"/>
    <w:rsid w:val="006E3A37"/>
    <w:rsid w:val="006F5D6A"/>
    <w:rsid w:val="00701786"/>
    <w:rsid w:val="00710E01"/>
    <w:rsid w:val="00712B0B"/>
    <w:rsid w:val="00754595"/>
    <w:rsid w:val="00761397"/>
    <w:rsid w:val="00765B27"/>
    <w:rsid w:val="00766B99"/>
    <w:rsid w:val="00797134"/>
    <w:rsid w:val="007A032E"/>
    <w:rsid w:val="007A4FB0"/>
    <w:rsid w:val="007B4D91"/>
    <w:rsid w:val="007C0CD3"/>
    <w:rsid w:val="007C3F98"/>
    <w:rsid w:val="007C5A33"/>
    <w:rsid w:val="007E24F5"/>
    <w:rsid w:val="007F0B40"/>
    <w:rsid w:val="00800BD3"/>
    <w:rsid w:val="00801EA6"/>
    <w:rsid w:val="00816C77"/>
    <w:rsid w:val="00822290"/>
    <w:rsid w:val="0083742A"/>
    <w:rsid w:val="00850FCC"/>
    <w:rsid w:val="00856013"/>
    <w:rsid w:val="008611BE"/>
    <w:rsid w:val="0086734C"/>
    <w:rsid w:val="0087336D"/>
    <w:rsid w:val="00892AAE"/>
    <w:rsid w:val="008A58D6"/>
    <w:rsid w:val="008B4E62"/>
    <w:rsid w:val="008C2E95"/>
    <w:rsid w:val="008D2AD4"/>
    <w:rsid w:val="008F145E"/>
    <w:rsid w:val="00910963"/>
    <w:rsid w:val="009434BC"/>
    <w:rsid w:val="00971C6A"/>
    <w:rsid w:val="00972725"/>
    <w:rsid w:val="009B109F"/>
    <w:rsid w:val="009D3CFE"/>
    <w:rsid w:val="009D5AD7"/>
    <w:rsid w:val="009E3C19"/>
    <w:rsid w:val="00A0445C"/>
    <w:rsid w:val="00A04CD1"/>
    <w:rsid w:val="00A4211B"/>
    <w:rsid w:val="00A425EF"/>
    <w:rsid w:val="00A455DA"/>
    <w:rsid w:val="00A666BD"/>
    <w:rsid w:val="00A84F78"/>
    <w:rsid w:val="00A948D0"/>
    <w:rsid w:val="00AA7796"/>
    <w:rsid w:val="00AB2565"/>
    <w:rsid w:val="00AD758A"/>
    <w:rsid w:val="00AE50ED"/>
    <w:rsid w:val="00AE52DF"/>
    <w:rsid w:val="00B03E48"/>
    <w:rsid w:val="00B05A24"/>
    <w:rsid w:val="00B20BB9"/>
    <w:rsid w:val="00B21046"/>
    <w:rsid w:val="00B2318F"/>
    <w:rsid w:val="00B570C9"/>
    <w:rsid w:val="00B571D5"/>
    <w:rsid w:val="00B63493"/>
    <w:rsid w:val="00B659DB"/>
    <w:rsid w:val="00B67AC2"/>
    <w:rsid w:val="00B84FEE"/>
    <w:rsid w:val="00B928A7"/>
    <w:rsid w:val="00BA0538"/>
    <w:rsid w:val="00BC595F"/>
    <w:rsid w:val="00C06119"/>
    <w:rsid w:val="00C2309E"/>
    <w:rsid w:val="00C4399A"/>
    <w:rsid w:val="00C4550E"/>
    <w:rsid w:val="00C57A6E"/>
    <w:rsid w:val="00C740AC"/>
    <w:rsid w:val="00C9112F"/>
    <w:rsid w:val="00C93EA4"/>
    <w:rsid w:val="00C96781"/>
    <w:rsid w:val="00CA1320"/>
    <w:rsid w:val="00CC00AD"/>
    <w:rsid w:val="00CE0632"/>
    <w:rsid w:val="00CE2513"/>
    <w:rsid w:val="00CE6FAD"/>
    <w:rsid w:val="00CF6CAF"/>
    <w:rsid w:val="00D0489B"/>
    <w:rsid w:val="00D24B45"/>
    <w:rsid w:val="00D265C6"/>
    <w:rsid w:val="00D3759F"/>
    <w:rsid w:val="00D67FCF"/>
    <w:rsid w:val="00D7012E"/>
    <w:rsid w:val="00D74ED1"/>
    <w:rsid w:val="00D76C50"/>
    <w:rsid w:val="00D807C8"/>
    <w:rsid w:val="00D81F28"/>
    <w:rsid w:val="00DA47F3"/>
    <w:rsid w:val="00DA6969"/>
    <w:rsid w:val="00DB1366"/>
    <w:rsid w:val="00DB4E30"/>
    <w:rsid w:val="00DC7956"/>
    <w:rsid w:val="00DD0EEA"/>
    <w:rsid w:val="00DD2C7E"/>
    <w:rsid w:val="00DF0F7B"/>
    <w:rsid w:val="00DF1772"/>
    <w:rsid w:val="00DF7D5B"/>
    <w:rsid w:val="00E02C6B"/>
    <w:rsid w:val="00E16634"/>
    <w:rsid w:val="00E27B7C"/>
    <w:rsid w:val="00E62F2A"/>
    <w:rsid w:val="00E7556B"/>
    <w:rsid w:val="00E93B52"/>
    <w:rsid w:val="00E95A40"/>
    <w:rsid w:val="00E973CB"/>
    <w:rsid w:val="00EB09D0"/>
    <w:rsid w:val="00EB26DC"/>
    <w:rsid w:val="00EC77E6"/>
    <w:rsid w:val="00EE582F"/>
    <w:rsid w:val="00F0288A"/>
    <w:rsid w:val="00F0453D"/>
    <w:rsid w:val="00F22F3C"/>
    <w:rsid w:val="00F249DF"/>
    <w:rsid w:val="00F25A6F"/>
    <w:rsid w:val="00F46847"/>
    <w:rsid w:val="00F50200"/>
    <w:rsid w:val="00F63E6C"/>
    <w:rsid w:val="00F652D8"/>
    <w:rsid w:val="00F87334"/>
    <w:rsid w:val="00F91318"/>
    <w:rsid w:val="00FB1A87"/>
    <w:rsid w:val="00FB588D"/>
    <w:rsid w:val="00FE6C0C"/>
    <w:rsid w:val="014072C6"/>
    <w:rsid w:val="0145468D"/>
    <w:rsid w:val="022D6A42"/>
    <w:rsid w:val="02A41DD0"/>
    <w:rsid w:val="02D2752A"/>
    <w:rsid w:val="02DA4A33"/>
    <w:rsid w:val="033755DF"/>
    <w:rsid w:val="033C78A2"/>
    <w:rsid w:val="03661A20"/>
    <w:rsid w:val="036C52BA"/>
    <w:rsid w:val="03E4032C"/>
    <w:rsid w:val="03F948C9"/>
    <w:rsid w:val="044328C5"/>
    <w:rsid w:val="047607DA"/>
    <w:rsid w:val="04E343A7"/>
    <w:rsid w:val="04E8490D"/>
    <w:rsid w:val="0523406D"/>
    <w:rsid w:val="060519C4"/>
    <w:rsid w:val="06462D5B"/>
    <w:rsid w:val="068F6F36"/>
    <w:rsid w:val="06EE24A0"/>
    <w:rsid w:val="06FA5D7A"/>
    <w:rsid w:val="07AF40D6"/>
    <w:rsid w:val="07B97459"/>
    <w:rsid w:val="07C839A6"/>
    <w:rsid w:val="08915791"/>
    <w:rsid w:val="0A3C34DB"/>
    <w:rsid w:val="0A8202D6"/>
    <w:rsid w:val="0A8D08A8"/>
    <w:rsid w:val="0AEF054D"/>
    <w:rsid w:val="0B8F555A"/>
    <w:rsid w:val="0DCA40F9"/>
    <w:rsid w:val="0E927B6D"/>
    <w:rsid w:val="0EB56D5E"/>
    <w:rsid w:val="0FDC19E8"/>
    <w:rsid w:val="107B2FAF"/>
    <w:rsid w:val="113118BF"/>
    <w:rsid w:val="120E194D"/>
    <w:rsid w:val="120F6BF6"/>
    <w:rsid w:val="12386C7D"/>
    <w:rsid w:val="12394ECF"/>
    <w:rsid w:val="12492C39"/>
    <w:rsid w:val="12CA3D79"/>
    <w:rsid w:val="138228A6"/>
    <w:rsid w:val="14A66120"/>
    <w:rsid w:val="15F031F3"/>
    <w:rsid w:val="162706C8"/>
    <w:rsid w:val="164F7967"/>
    <w:rsid w:val="16C5772D"/>
    <w:rsid w:val="1770708F"/>
    <w:rsid w:val="17B47531"/>
    <w:rsid w:val="187017D2"/>
    <w:rsid w:val="1BBD3943"/>
    <w:rsid w:val="1BC95D38"/>
    <w:rsid w:val="1D1A58FD"/>
    <w:rsid w:val="1D7D79EC"/>
    <w:rsid w:val="1DA219CE"/>
    <w:rsid w:val="1DDD1FF8"/>
    <w:rsid w:val="1E4043A8"/>
    <w:rsid w:val="1E776564"/>
    <w:rsid w:val="1FB13270"/>
    <w:rsid w:val="21CB71C6"/>
    <w:rsid w:val="220A17EF"/>
    <w:rsid w:val="221F5354"/>
    <w:rsid w:val="226543F4"/>
    <w:rsid w:val="22684B58"/>
    <w:rsid w:val="234B504B"/>
    <w:rsid w:val="235F22BC"/>
    <w:rsid w:val="240A169F"/>
    <w:rsid w:val="24681644"/>
    <w:rsid w:val="24F353B2"/>
    <w:rsid w:val="25895171"/>
    <w:rsid w:val="26B96187"/>
    <w:rsid w:val="26F54051"/>
    <w:rsid w:val="26F96584"/>
    <w:rsid w:val="27117D71"/>
    <w:rsid w:val="277E4EEF"/>
    <w:rsid w:val="279B1E63"/>
    <w:rsid w:val="28142DC5"/>
    <w:rsid w:val="284D74DD"/>
    <w:rsid w:val="28B46C06"/>
    <w:rsid w:val="28FB7D3A"/>
    <w:rsid w:val="290C07F0"/>
    <w:rsid w:val="2A096C55"/>
    <w:rsid w:val="2B2142FB"/>
    <w:rsid w:val="2BAA609E"/>
    <w:rsid w:val="2C1A76C8"/>
    <w:rsid w:val="2D8363BB"/>
    <w:rsid w:val="2EB77450"/>
    <w:rsid w:val="2F710FFF"/>
    <w:rsid w:val="2FD17224"/>
    <w:rsid w:val="301F0A75"/>
    <w:rsid w:val="3060588C"/>
    <w:rsid w:val="316F0058"/>
    <w:rsid w:val="31945827"/>
    <w:rsid w:val="31B8289A"/>
    <w:rsid w:val="3254059A"/>
    <w:rsid w:val="32C96688"/>
    <w:rsid w:val="37160D1C"/>
    <w:rsid w:val="3805083C"/>
    <w:rsid w:val="3998017C"/>
    <w:rsid w:val="3A5034BF"/>
    <w:rsid w:val="3ABD5DEE"/>
    <w:rsid w:val="3AD66EB0"/>
    <w:rsid w:val="3AFD1A5D"/>
    <w:rsid w:val="3B2604EF"/>
    <w:rsid w:val="3B72002E"/>
    <w:rsid w:val="3B7D37CF"/>
    <w:rsid w:val="3BBB4DF6"/>
    <w:rsid w:val="3C7604E4"/>
    <w:rsid w:val="3C776471"/>
    <w:rsid w:val="3CD5085D"/>
    <w:rsid w:val="3CE7402B"/>
    <w:rsid w:val="3D0B5C36"/>
    <w:rsid w:val="3D284C0F"/>
    <w:rsid w:val="3D440119"/>
    <w:rsid w:val="3D54230E"/>
    <w:rsid w:val="3DBE2464"/>
    <w:rsid w:val="3EC84D62"/>
    <w:rsid w:val="3F1C77F7"/>
    <w:rsid w:val="40037BA7"/>
    <w:rsid w:val="40A47108"/>
    <w:rsid w:val="41173642"/>
    <w:rsid w:val="415D5DE4"/>
    <w:rsid w:val="417F2F6B"/>
    <w:rsid w:val="41C160CD"/>
    <w:rsid w:val="42526CE9"/>
    <w:rsid w:val="42921492"/>
    <w:rsid w:val="42AC4D29"/>
    <w:rsid w:val="43357305"/>
    <w:rsid w:val="437E6337"/>
    <w:rsid w:val="43E45F5F"/>
    <w:rsid w:val="43F404A8"/>
    <w:rsid w:val="43FF057D"/>
    <w:rsid w:val="44334EE0"/>
    <w:rsid w:val="4516066D"/>
    <w:rsid w:val="456804F1"/>
    <w:rsid w:val="456B28EB"/>
    <w:rsid w:val="45863C81"/>
    <w:rsid w:val="4648113F"/>
    <w:rsid w:val="469C7200"/>
    <w:rsid w:val="46F45B38"/>
    <w:rsid w:val="470E26B6"/>
    <w:rsid w:val="47735098"/>
    <w:rsid w:val="47A04ACD"/>
    <w:rsid w:val="48346CBE"/>
    <w:rsid w:val="496600E6"/>
    <w:rsid w:val="4982301B"/>
    <w:rsid w:val="49A85EBB"/>
    <w:rsid w:val="4A0E3B24"/>
    <w:rsid w:val="4ABB39CC"/>
    <w:rsid w:val="4AD625B4"/>
    <w:rsid w:val="4AF34F14"/>
    <w:rsid w:val="4B4E3F72"/>
    <w:rsid w:val="4B5131C9"/>
    <w:rsid w:val="4B7F2F2D"/>
    <w:rsid w:val="4BF278C2"/>
    <w:rsid w:val="4CAC7F3B"/>
    <w:rsid w:val="4D0B30C7"/>
    <w:rsid w:val="4DCD2EBC"/>
    <w:rsid w:val="4DE509F8"/>
    <w:rsid w:val="4EA17C8F"/>
    <w:rsid w:val="4F0F6F43"/>
    <w:rsid w:val="505E72BF"/>
    <w:rsid w:val="508A1E77"/>
    <w:rsid w:val="50D561D9"/>
    <w:rsid w:val="517C3C64"/>
    <w:rsid w:val="525741C4"/>
    <w:rsid w:val="52975031"/>
    <w:rsid w:val="55A61CA4"/>
    <w:rsid w:val="570361FB"/>
    <w:rsid w:val="578F2469"/>
    <w:rsid w:val="57D0335A"/>
    <w:rsid w:val="57E427B4"/>
    <w:rsid w:val="58095D77"/>
    <w:rsid w:val="58C3686E"/>
    <w:rsid w:val="594E706C"/>
    <w:rsid w:val="599B3347"/>
    <w:rsid w:val="59F9006D"/>
    <w:rsid w:val="5B37784A"/>
    <w:rsid w:val="5B392E17"/>
    <w:rsid w:val="5C184F77"/>
    <w:rsid w:val="5C447F73"/>
    <w:rsid w:val="5C6703F0"/>
    <w:rsid w:val="5CF214D0"/>
    <w:rsid w:val="5E0F19FF"/>
    <w:rsid w:val="5E4823FD"/>
    <w:rsid w:val="5E7E05B8"/>
    <w:rsid w:val="5E8C236E"/>
    <w:rsid w:val="60315426"/>
    <w:rsid w:val="603A552E"/>
    <w:rsid w:val="60636240"/>
    <w:rsid w:val="60762418"/>
    <w:rsid w:val="60E87222"/>
    <w:rsid w:val="60FE23BF"/>
    <w:rsid w:val="61616C24"/>
    <w:rsid w:val="621F43E9"/>
    <w:rsid w:val="624C2964"/>
    <w:rsid w:val="62AC0373"/>
    <w:rsid w:val="63091321"/>
    <w:rsid w:val="631657EC"/>
    <w:rsid w:val="63D87B10"/>
    <w:rsid w:val="6457430E"/>
    <w:rsid w:val="64772220"/>
    <w:rsid w:val="64A237B2"/>
    <w:rsid w:val="64CE7CB1"/>
    <w:rsid w:val="65193FFA"/>
    <w:rsid w:val="65EB3046"/>
    <w:rsid w:val="66497EC6"/>
    <w:rsid w:val="66983E23"/>
    <w:rsid w:val="66C6363D"/>
    <w:rsid w:val="66F33491"/>
    <w:rsid w:val="66F50AE2"/>
    <w:rsid w:val="673B4703"/>
    <w:rsid w:val="67F85E08"/>
    <w:rsid w:val="68150768"/>
    <w:rsid w:val="68C80B2D"/>
    <w:rsid w:val="6961226A"/>
    <w:rsid w:val="699C38A3"/>
    <w:rsid w:val="6B6F018F"/>
    <w:rsid w:val="6B7947EA"/>
    <w:rsid w:val="6B931327"/>
    <w:rsid w:val="6BA02A3F"/>
    <w:rsid w:val="6BFE0A06"/>
    <w:rsid w:val="6C542C7C"/>
    <w:rsid w:val="6CC00C00"/>
    <w:rsid w:val="6CC4275D"/>
    <w:rsid w:val="6D371181"/>
    <w:rsid w:val="6D77332B"/>
    <w:rsid w:val="6D906BA6"/>
    <w:rsid w:val="6E39068E"/>
    <w:rsid w:val="6EDA3C3C"/>
    <w:rsid w:val="6FD1559E"/>
    <w:rsid w:val="709D782C"/>
    <w:rsid w:val="70DD3DED"/>
    <w:rsid w:val="70F15002"/>
    <w:rsid w:val="71DA3EEA"/>
    <w:rsid w:val="732B5175"/>
    <w:rsid w:val="733F6699"/>
    <w:rsid w:val="7355520B"/>
    <w:rsid w:val="73C331B2"/>
    <w:rsid w:val="748B0691"/>
    <w:rsid w:val="74B03CF2"/>
    <w:rsid w:val="74F87447"/>
    <w:rsid w:val="75466405"/>
    <w:rsid w:val="757F6FD7"/>
    <w:rsid w:val="759E7FEF"/>
    <w:rsid w:val="75AA25D0"/>
    <w:rsid w:val="761436CE"/>
    <w:rsid w:val="76515061"/>
    <w:rsid w:val="767C55E1"/>
    <w:rsid w:val="76EE0368"/>
    <w:rsid w:val="77277B70"/>
    <w:rsid w:val="779D7E32"/>
    <w:rsid w:val="77B02B31"/>
    <w:rsid w:val="78216CB5"/>
    <w:rsid w:val="787D2CDB"/>
    <w:rsid w:val="78D97628"/>
    <w:rsid w:val="79F536FA"/>
    <w:rsid w:val="7A436DC4"/>
    <w:rsid w:val="7A446788"/>
    <w:rsid w:val="7B5E75AF"/>
    <w:rsid w:val="7BF1741D"/>
    <w:rsid w:val="7C6D071B"/>
    <w:rsid w:val="7CC831B3"/>
    <w:rsid w:val="7D0952CB"/>
    <w:rsid w:val="7D451EA7"/>
    <w:rsid w:val="7D6430EE"/>
    <w:rsid w:val="7F1D3460"/>
    <w:rsid w:val="7F271055"/>
    <w:rsid w:val="7F42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Balloon Text"/>
    <w:basedOn w:val="1"/>
    <w:link w:val="17"/>
    <w:autoRedefine/>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2"/>
    <w:next w:val="2"/>
    <w:link w:val="19"/>
    <w:autoRedefine/>
    <w:semiHidden/>
    <w:unhideWhenUsed/>
    <w:qFormat/>
    <w:uiPriority w:val="99"/>
    <w:rPr>
      <w:b/>
      <w:bCs/>
    </w:rPr>
  </w:style>
  <w:style w:type="paragraph" w:styleId="9">
    <w:name w:val="Body Text First Indent"/>
    <w:basedOn w:val="3"/>
    <w:autoRedefine/>
    <w:unhideWhenUsed/>
    <w:qFormat/>
    <w:uiPriority w:val="99"/>
    <w:pPr>
      <w:ind w:firstLine="420" w:firstLineChars="100"/>
    </w:p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页眉 字符"/>
    <w:basedOn w:val="12"/>
    <w:link w:val="6"/>
    <w:autoRedefine/>
    <w:qFormat/>
    <w:uiPriority w:val="99"/>
    <w:rPr>
      <w:sz w:val="18"/>
      <w:szCs w:val="18"/>
    </w:rPr>
  </w:style>
  <w:style w:type="character" w:customStyle="1" w:styleId="15">
    <w:name w:val="页脚 字符"/>
    <w:basedOn w:val="12"/>
    <w:link w:val="5"/>
    <w:autoRedefine/>
    <w:qFormat/>
    <w:uiPriority w:val="99"/>
    <w:rPr>
      <w:sz w:val="18"/>
      <w:szCs w:val="18"/>
    </w:rPr>
  </w:style>
  <w:style w:type="paragraph" w:customStyle="1" w:styleId="16">
    <w:name w:val="列出段落1"/>
    <w:basedOn w:val="1"/>
    <w:autoRedefine/>
    <w:qFormat/>
    <w:uiPriority w:val="99"/>
    <w:pPr>
      <w:ind w:firstLine="420" w:firstLineChars="200"/>
    </w:pPr>
    <w:rPr>
      <w:rFonts w:ascii="Times New Roman" w:hAnsi="Times New Roman"/>
      <w:szCs w:val="24"/>
    </w:rPr>
  </w:style>
  <w:style w:type="character" w:customStyle="1" w:styleId="17">
    <w:name w:val="批注框文本 字符"/>
    <w:basedOn w:val="12"/>
    <w:link w:val="4"/>
    <w:autoRedefine/>
    <w:semiHidden/>
    <w:qFormat/>
    <w:uiPriority w:val="99"/>
    <w:rPr>
      <w:rFonts w:ascii="Calibri" w:hAnsi="Calibri" w:eastAsia="宋体" w:cs="Times New Roman"/>
      <w:sz w:val="18"/>
      <w:szCs w:val="18"/>
    </w:rPr>
  </w:style>
  <w:style w:type="character" w:customStyle="1" w:styleId="18">
    <w:name w:val="批注文字 字符"/>
    <w:basedOn w:val="12"/>
    <w:link w:val="2"/>
    <w:autoRedefine/>
    <w:semiHidden/>
    <w:qFormat/>
    <w:uiPriority w:val="99"/>
    <w:rPr>
      <w:rFonts w:ascii="Calibri" w:hAnsi="Calibri" w:eastAsia="宋体" w:cs="Times New Roman"/>
      <w:kern w:val="2"/>
      <w:sz w:val="21"/>
      <w:szCs w:val="22"/>
    </w:rPr>
  </w:style>
  <w:style w:type="character" w:customStyle="1" w:styleId="19">
    <w:name w:val="批注主题 字符"/>
    <w:basedOn w:val="18"/>
    <w:link w:val="8"/>
    <w:autoRedefine/>
    <w:semiHidden/>
    <w:qFormat/>
    <w:uiPriority w:val="99"/>
    <w:rPr>
      <w:rFonts w:ascii="Calibri" w:hAnsi="Calibri" w:eastAsia="宋体" w:cs="Times New Roman"/>
      <w:b/>
      <w:bCs/>
      <w:kern w:val="2"/>
      <w:sz w:val="21"/>
      <w:szCs w:val="22"/>
    </w:rPr>
  </w:style>
  <w:style w:type="paragraph" w:styleId="20">
    <w:name w:val="List Paragraph"/>
    <w:basedOn w:val="1"/>
    <w:autoRedefine/>
    <w:qFormat/>
    <w:uiPriority w:val="99"/>
    <w:pPr>
      <w:ind w:firstLine="420" w:firstLineChars="200"/>
    </w:pPr>
  </w:style>
  <w:style w:type="paragraph" w:customStyle="1" w:styleId="21">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2">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E074-2862-44D7-937D-5C2B586C75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9503</Words>
  <Characters>9720</Characters>
  <Lines>78</Lines>
  <Paragraphs>21</Paragraphs>
  <TotalTime>88</TotalTime>
  <ScaleCrop>false</ScaleCrop>
  <LinksUpToDate>false</LinksUpToDate>
  <CharactersWithSpaces>9867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2018-06-06T05:50:00Z</dcterms:created>
  <dc:creator>M</dc:creator>
  <cp:lastModifiedBy>合付宝</cp:lastModifiedBy>
  <cp:lastPrinted>2015-08-25T08:21:00Z</cp:lastPrinted>
  <dcterms:modified xsi:type="dcterms:W3CDTF">2025-11-13T05:07:09Z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F32E5042EE8344E096C917D2EC4E68F4_13</vt:lpwstr>
  </property>
  <property fmtid="{D5CDD505-2E9C-101B-9397-08002B2CF9AE}" pid="4" name="KSOTemplateDocerSaveRecord">
    <vt:lpwstr>eyJoZGlkIjoiMjYxMTFmZjU0MTNhYTQ4Y2E1ODNlY2UxOTg3ZDhjZWMiLCJ1c2VySWQiOiIxMjg1ODY1NTMwIn0=</vt:lpwstr>
  </property>
</Properties>
</file>